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63047E" w14:textId="77777777" w:rsidR="00FB4291" w:rsidRPr="00041AA0" w:rsidRDefault="00FB4291">
      <w:pPr>
        <w:jc w:val="center"/>
        <w:rPr>
          <w:rFonts w:ascii="Times New Roman" w:hAnsi="Times New Roman"/>
          <w:sz w:val="24"/>
          <w:szCs w:val="24"/>
        </w:rPr>
      </w:pPr>
    </w:p>
    <w:p w14:paraId="0FB028DF" w14:textId="77777777" w:rsidR="00FB4291" w:rsidRPr="00041AA0" w:rsidRDefault="00FB4291">
      <w:pPr>
        <w:jc w:val="center"/>
        <w:rPr>
          <w:rFonts w:ascii="Times New Roman" w:hAnsi="Times New Roman"/>
          <w:sz w:val="24"/>
          <w:szCs w:val="24"/>
        </w:rPr>
      </w:pPr>
    </w:p>
    <w:p w14:paraId="741CB758" w14:textId="77777777" w:rsidR="00FB4291" w:rsidRPr="00041AA0" w:rsidRDefault="00FB4291">
      <w:pPr>
        <w:jc w:val="center"/>
        <w:rPr>
          <w:rFonts w:ascii="Times New Roman" w:hAnsi="Times New Roman"/>
          <w:sz w:val="24"/>
          <w:szCs w:val="24"/>
        </w:rPr>
      </w:pPr>
    </w:p>
    <w:p w14:paraId="0CB29DFD" w14:textId="77777777" w:rsidR="00FB4291" w:rsidRPr="00041AA0" w:rsidRDefault="00FB4291">
      <w:pPr>
        <w:jc w:val="center"/>
        <w:rPr>
          <w:rFonts w:ascii="Times New Roman" w:hAnsi="Times New Roman"/>
          <w:sz w:val="24"/>
          <w:szCs w:val="24"/>
        </w:rPr>
      </w:pPr>
    </w:p>
    <w:p w14:paraId="3B639F7E" w14:textId="77777777" w:rsidR="00FB4291" w:rsidRPr="00041AA0" w:rsidRDefault="00FB4291">
      <w:pPr>
        <w:jc w:val="center"/>
        <w:rPr>
          <w:rFonts w:ascii="Times New Roman" w:hAnsi="Times New Roman"/>
          <w:sz w:val="24"/>
          <w:szCs w:val="24"/>
        </w:rPr>
      </w:pPr>
    </w:p>
    <w:p w14:paraId="77EA8188" w14:textId="77777777" w:rsidR="00FB4291" w:rsidRPr="00041AA0" w:rsidRDefault="00FB4291">
      <w:pPr>
        <w:jc w:val="center"/>
        <w:rPr>
          <w:rFonts w:ascii="Times New Roman" w:hAnsi="Times New Roman"/>
          <w:sz w:val="24"/>
          <w:szCs w:val="24"/>
        </w:rPr>
      </w:pPr>
    </w:p>
    <w:p w14:paraId="7A7839A9" w14:textId="77777777" w:rsidR="00FB4291" w:rsidRPr="00041AA0" w:rsidRDefault="00FB4291">
      <w:pPr>
        <w:jc w:val="center"/>
        <w:rPr>
          <w:rFonts w:ascii="Times New Roman" w:hAnsi="Times New Roman"/>
          <w:sz w:val="24"/>
          <w:szCs w:val="24"/>
        </w:rPr>
      </w:pPr>
    </w:p>
    <w:p w14:paraId="714900F4" w14:textId="77777777" w:rsidR="00FB4291" w:rsidRPr="00041AA0" w:rsidRDefault="00FB4291">
      <w:pPr>
        <w:jc w:val="center"/>
        <w:rPr>
          <w:rFonts w:ascii="Times New Roman" w:hAnsi="Times New Roman"/>
          <w:sz w:val="24"/>
          <w:szCs w:val="24"/>
        </w:rPr>
      </w:pPr>
    </w:p>
    <w:p w14:paraId="18B67486" w14:textId="77777777" w:rsidR="00FB4291" w:rsidRPr="00041AA0" w:rsidRDefault="00FB4291">
      <w:pPr>
        <w:jc w:val="center"/>
        <w:rPr>
          <w:rFonts w:ascii="Times New Roman" w:hAnsi="Times New Roman"/>
          <w:sz w:val="24"/>
          <w:szCs w:val="24"/>
        </w:rPr>
      </w:pPr>
    </w:p>
    <w:p w14:paraId="2AA0F11A" w14:textId="77777777" w:rsidR="00FB4291" w:rsidRPr="00041AA0" w:rsidRDefault="00FB4291">
      <w:pPr>
        <w:jc w:val="center"/>
        <w:rPr>
          <w:rFonts w:ascii="Times New Roman" w:hAnsi="Times New Roman"/>
          <w:sz w:val="24"/>
          <w:szCs w:val="24"/>
        </w:rPr>
      </w:pPr>
    </w:p>
    <w:p w14:paraId="7B4E43AA" w14:textId="77777777" w:rsidR="00FB4291" w:rsidRPr="00531538" w:rsidRDefault="008E78DF">
      <w:pPr>
        <w:jc w:val="center"/>
        <w:rPr>
          <w:rFonts w:ascii="Times New Roman" w:hAnsi="Times New Roman"/>
          <w:sz w:val="72"/>
          <w:szCs w:val="72"/>
        </w:rPr>
      </w:pPr>
      <w:r w:rsidRPr="00531538">
        <w:rPr>
          <w:rFonts w:ascii="Times New Roman" w:hAnsi="Times New Roman"/>
          <w:sz w:val="72"/>
          <w:szCs w:val="72"/>
        </w:rPr>
        <w:t xml:space="preserve">Education in Iraq: </w:t>
      </w:r>
    </w:p>
    <w:p w14:paraId="0486CD11" w14:textId="77777777" w:rsidR="00FB4291" w:rsidRPr="00531538" w:rsidRDefault="008E78DF">
      <w:pPr>
        <w:jc w:val="center"/>
        <w:rPr>
          <w:rFonts w:ascii="Times New Roman" w:hAnsi="Times New Roman"/>
          <w:sz w:val="72"/>
          <w:szCs w:val="72"/>
        </w:rPr>
      </w:pPr>
      <w:r w:rsidRPr="00531538">
        <w:rPr>
          <w:rFonts w:ascii="Times New Roman" w:hAnsi="Times New Roman"/>
          <w:sz w:val="72"/>
          <w:szCs w:val="72"/>
        </w:rPr>
        <w:t>The Oasis and the Desert</w:t>
      </w:r>
    </w:p>
    <w:p w14:paraId="4275C5D7" w14:textId="77777777" w:rsidR="00FB4291" w:rsidRPr="00041AA0" w:rsidRDefault="00FB4291">
      <w:pPr>
        <w:jc w:val="center"/>
        <w:rPr>
          <w:rFonts w:ascii="Times New Roman" w:hAnsi="Times New Roman"/>
          <w:sz w:val="24"/>
          <w:szCs w:val="24"/>
        </w:rPr>
      </w:pPr>
    </w:p>
    <w:p w14:paraId="3B339994" w14:textId="77777777" w:rsidR="00FB4291" w:rsidRPr="00041AA0" w:rsidRDefault="00FB4291">
      <w:pPr>
        <w:jc w:val="center"/>
        <w:rPr>
          <w:rFonts w:ascii="Times New Roman" w:hAnsi="Times New Roman"/>
          <w:sz w:val="24"/>
          <w:szCs w:val="24"/>
        </w:rPr>
      </w:pPr>
    </w:p>
    <w:p w14:paraId="45979FC0" w14:textId="77777777" w:rsidR="00FB4291" w:rsidRPr="00041AA0" w:rsidRDefault="00FB4291">
      <w:pPr>
        <w:jc w:val="center"/>
        <w:rPr>
          <w:rFonts w:ascii="Times New Roman" w:hAnsi="Times New Roman"/>
          <w:sz w:val="24"/>
          <w:szCs w:val="24"/>
        </w:rPr>
      </w:pPr>
    </w:p>
    <w:p w14:paraId="64D8728C" w14:textId="77777777" w:rsidR="00FB4291" w:rsidRPr="00041AA0" w:rsidRDefault="00FB4291">
      <w:pPr>
        <w:jc w:val="center"/>
        <w:rPr>
          <w:rFonts w:ascii="Times New Roman" w:hAnsi="Times New Roman"/>
          <w:sz w:val="24"/>
          <w:szCs w:val="24"/>
        </w:rPr>
      </w:pPr>
    </w:p>
    <w:p w14:paraId="5EAF50FB" w14:textId="77777777" w:rsidR="00FB4291" w:rsidRPr="00041AA0" w:rsidRDefault="00FB4291">
      <w:pPr>
        <w:jc w:val="center"/>
        <w:rPr>
          <w:rFonts w:ascii="Times New Roman" w:hAnsi="Times New Roman"/>
          <w:sz w:val="24"/>
          <w:szCs w:val="24"/>
        </w:rPr>
      </w:pPr>
    </w:p>
    <w:p w14:paraId="06C28B26" w14:textId="77777777" w:rsidR="00FB4291" w:rsidRPr="00041AA0" w:rsidRDefault="00FB4291">
      <w:pPr>
        <w:jc w:val="center"/>
        <w:rPr>
          <w:rFonts w:ascii="Times New Roman" w:hAnsi="Times New Roman"/>
          <w:sz w:val="24"/>
          <w:szCs w:val="24"/>
        </w:rPr>
      </w:pPr>
    </w:p>
    <w:p w14:paraId="7060DBBC" w14:textId="77777777" w:rsidR="00FB4291" w:rsidRPr="00041AA0" w:rsidRDefault="00FB4291">
      <w:pPr>
        <w:jc w:val="center"/>
        <w:rPr>
          <w:rFonts w:ascii="Times New Roman" w:hAnsi="Times New Roman"/>
          <w:sz w:val="24"/>
          <w:szCs w:val="24"/>
        </w:rPr>
      </w:pPr>
    </w:p>
    <w:p w14:paraId="4EDABE92" w14:textId="77777777" w:rsidR="00FB4291" w:rsidRPr="00041AA0" w:rsidRDefault="00FB4291">
      <w:pPr>
        <w:jc w:val="center"/>
        <w:rPr>
          <w:rFonts w:ascii="Times New Roman" w:hAnsi="Times New Roman"/>
          <w:sz w:val="24"/>
          <w:szCs w:val="24"/>
        </w:rPr>
      </w:pPr>
    </w:p>
    <w:p w14:paraId="38CDC9DF" w14:textId="77777777" w:rsidR="00FB4291" w:rsidRPr="00041AA0" w:rsidRDefault="00FB4291">
      <w:pPr>
        <w:jc w:val="center"/>
        <w:rPr>
          <w:rFonts w:ascii="Times New Roman" w:hAnsi="Times New Roman"/>
          <w:sz w:val="24"/>
          <w:szCs w:val="24"/>
        </w:rPr>
      </w:pPr>
    </w:p>
    <w:p w14:paraId="49C639E4" w14:textId="77777777" w:rsidR="00FB4291" w:rsidRPr="00041AA0" w:rsidRDefault="00FB4291">
      <w:pPr>
        <w:spacing w:line="480" w:lineRule="auto"/>
        <w:rPr>
          <w:rFonts w:ascii="Times New Roman" w:hAnsi="Times New Roman"/>
          <w:sz w:val="24"/>
          <w:szCs w:val="24"/>
        </w:rPr>
      </w:pPr>
    </w:p>
    <w:p w14:paraId="54A7BD6A" w14:textId="6FE0F5C8" w:rsidR="00FB4291" w:rsidRPr="00041AA0" w:rsidRDefault="00531538">
      <w:pPr>
        <w:jc w:val="center"/>
        <w:rPr>
          <w:rFonts w:ascii="Times New Roman" w:hAnsi="Times New Roman"/>
          <w:sz w:val="24"/>
          <w:szCs w:val="24"/>
        </w:rPr>
      </w:pPr>
      <w:r>
        <w:rPr>
          <w:rFonts w:ascii="Times New Roman" w:hAnsi="Times New Roman"/>
          <w:sz w:val="24"/>
          <w:szCs w:val="24"/>
        </w:rPr>
        <w:t>Global Affairs with Greg Ayres</w:t>
      </w:r>
    </w:p>
    <w:p w14:paraId="421A6054" w14:textId="77777777" w:rsidR="00FB4291" w:rsidRPr="00531538" w:rsidRDefault="008E78DF">
      <w:pPr>
        <w:jc w:val="center"/>
        <w:rPr>
          <w:rFonts w:ascii="Times New Roman" w:hAnsi="Times New Roman"/>
          <w:sz w:val="24"/>
          <w:szCs w:val="24"/>
          <w:u w:val="single"/>
        </w:rPr>
      </w:pPr>
      <w:r w:rsidRPr="00531538">
        <w:rPr>
          <w:rFonts w:ascii="Times New Roman" w:hAnsi="Times New Roman"/>
          <w:sz w:val="24"/>
          <w:szCs w:val="24"/>
          <w:u w:val="single"/>
        </w:rPr>
        <w:t>Gregory P. Ayres</w:t>
      </w:r>
    </w:p>
    <w:p w14:paraId="1740C0C2" w14:textId="77777777" w:rsidR="00FB4291" w:rsidRPr="00041AA0" w:rsidRDefault="008E78DF">
      <w:pPr>
        <w:jc w:val="center"/>
        <w:rPr>
          <w:rFonts w:ascii="Times New Roman" w:hAnsi="Times New Roman"/>
          <w:sz w:val="24"/>
          <w:szCs w:val="24"/>
        </w:rPr>
      </w:pPr>
      <w:r w:rsidRPr="00041AA0">
        <w:rPr>
          <w:rFonts w:ascii="Times New Roman" w:hAnsi="Times New Roman"/>
          <w:sz w:val="24"/>
          <w:szCs w:val="24"/>
        </w:rPr>
        <w:t>April 4, 2021</w:t>
      </w:r>
    </w:p>
    <w:p w14:paraId="2A2F7DA3" w14:textId="3C65A6FB" w:rsidR="00FB4291" w:rsidRPr="00041AA0" w:rsidRDefault="008E78DF">
      <w:pPr>
        <w:spacing w:line="360" w:lineRule="auto"/>
        <w:rPr>
          <w:rFonts w:ascii="Times New Roman" w:hAnsi="Times New Roman"/>
          <w:sz w:val="24"/>
          <w:szCs w:val="24"/>
        </w:rPr>
      </w:pPr>
      <w:r w:rsidRPr="00041AA0">
        <w:rPr>
          <w:rFonts w:ascii="Times New Roman" w:hAnsi="Times New Roman"/>
          <w:sz w:val="24"/>
          <w:szCs w:val="24"/>
        </w:rPr>
        <w:lastRenderedPageBreak/>
        <w:tab/>
        <w:t xml:space="preserve">The 2003 coalition invasion of Iraq delivered a climatic shift to Iraq’s education system, presenting a new opportunity, where the education of the nation’s youth could transition from a fallow instrument of indoctrination to a vanguard of stability and development. Iraq’s education system can be judged not only on the quality of education delivered but upon the </w:t>
      </w:r>
      <w:r w:rsidR="009D51B8" w:rsidRPr="00041AA0">
        <w:rPr>
          <w:rFonts w:ascii="Times New Roman" w:hAnsi="Times New Roman"/>
          <w:sz w:val="24"/>
          <w:szCs w:val="24"/>
        </w:rPr>
        <w:t>supplementary</w:t>
      </w:r>
      <w:r w:rsidRPr="00041AA0">
        <w:rPr>
          <w:rFonts w:ascii="Times New Roman" w:hAnsi="Times New Roman"/>
          <w:sz w:val="24"/>
          <w:szCs w:val="24"/>
        </w:rPr>
        <w:t xml:space="preserve"> effects to Iraqi society. In the chaotic environment following the coalition invasion the opportunity </w:t>
      </w:r>
      <w:r w:rsidR="009D51B8" w:rsidRPr="00041AA0">
        <w:rPr>
          <w:rFonts w:ascii="Times New Roman" w:hAnsi="Times New Roman"/>
          <w:sz w:val="24"/>
          <w:szCs w:val="24"/>
        </w:rPr>
        <w:t>to successfully</w:t>
      </w:r>
      <w:r w:rsidRPr="00041AA0">
        <w:rPr>
          <w:rFonts w:ascii="Times New Roman" w:hAnsi="Times New Roman"/>
          <w:sz w:val="24"/>
          <w:szCs w:val="24"/>
        </w:rPr>
        <w:t xml:space="preserve"> restructur</w:t>
      </w:r>
      <w:r w:rsidR="009D51B8" w:rsidRPr="00041AA0">
        <w:rPr>
          <w:rFonts w:ascii="Times New Roman" w:hAnsi="Times New Roman"/>
          <w:sz w:val="24"/>
          <w:szCs w:val="24"/>
        </w:rPr>
        <w:t>e</w:t>
      </w:r>
      <w:r w:rsidRPr="00041AA0">
        <w:rPr>
          <w:rFonts w:ascii="Times New Roman" w:hAnsi="Times New Roman"/>
          <w:sz w:val="24"/>
          <w:szCs w:val="24"/>
        </w:rPr>
        <w:t xml:space="preserve"> and rejuvenat</w:t>
      </w:r>
      <w:r w:rsidR="009D51B8" w:rsidRPr="00041AA0">
        <w:rPr>
          <w:rFonts w:ascii="Times New Roman" w:hAnsi="Times New Roman"/>
          <w:sz w:val="24"/>
          <w:szCs w:val="24"/>
        </w:rPr>
        <w:t>e</w:t>
      </w:r>
      <w:r w:rsidRPr="00041AA0">
        <w:rPr>
          <w:rFonts w:ascii="Times New Roman" w:hAnsi="Times New Roman"/>
          <w:sz w:val="24"/>
          <w:szCs w:val="24"/>
        </w:rPr>
        <w:t xml:space="preserve"> Iraq’s education system was squandered. In need of a consistent national identity, stability, and self-sufficiency</w:t>
      </w:r>
      <w:r w:rsidR="009D51B8" w:rsidRPr="00041AA0">
        <w:rPr>
          <w:rFonts w:ascii="Times New Roman" w:hAnsi="Times New Roman"/>
          <w:sz w:val="24"/>
          <w:szCs w:val="24"/>
        </w:rPr>
        <w:t>;</w:t>
      </w:r>
      <w:r w:rsidRPr="00041AA0">
        <w:rPr>
          <w:rFonts w:ascii="Times New Roman" w:hAnsi="Times New Roman"/>
          <w:sz w:val="24"/>
          <w:szCs w:val="24"/>
        </w:rPr>
        <w:t xml:space="preserve"> the actions of the new Ministry of Education failed to </w:t>
      </w:r>
      <w:r w:rsidR="009D51B8" w:rsidRPr="00041AA0">
        <w:rPr>
          <w:rFonts w:ascii="Times New Roman" w:hAnsi="Times New Roman"/>
          <w:sz w:val="24"/>
          <w:szCs w:val="24"/>
        </w:rPr>
        <w:t>positively</w:t>
      </w:r>
      <w:r w:rsidRPr="00041AA0">
        <w:rPr>
          <w:rFonts w:ascii="Times New Roman" w:hAnsi="Times New Roman"/>
          <w:sz w:val="24"/>
          <w:szCs w:val="24"/>
        </w:rPr>
        <w:t xml:space="preserve"> impact Iraqi society, despite vastly increasing the educational capacity within the nation. In the months and years following the invasion, the Ministry of Education contributed </w:t>
      </w:r>
      <w:r w:rsidR="009D51B8" w:rsidRPr="00041AA0">
        <w:rPr>
          <w:rFonts w:ascii="Times New Roman" w:hAnsi="Times New Roman"/>
          <w:sz w:val="24"/>
          <w:szCs w:val="24"/>
        </w:rPr>
        <w:t>in a limited fashion</w:t>
      </w:r>
      <w:r w:rsidRPr="00041AA0">
        <w:rPr>
          <w:rFonts w:ascii="Times New Roman" w:hAnsi="Times New Roman"/>
          <w:sz w:val="24"/>
          <w:szCs w:val="24"/>
        </w:rPr>
        <w:t xml:space="preserve"> to the rebuilding and development of Iraq. </w:t>
      </w:r>
    </w:p>
    <w:p w14:paraId="7AF3A1AA" w14:textId="30E451FA" w:rsidR="00FB4291" w:rsidRPr="00041AA0" w:rsidRDefault="008E78DF">
      <w:pPr>
        <w:spacing w:line="360" w:lineRule="auto"/>
        <w:rPr>
          <w:rFonts w:ascii="Times New Roman" w:hAnsi="Times New Roman"/>
          <w:sz w:val="24"/>
          <w:szCs w:val="24"/>
        </w:rPr>
      </w:pPr>
      <w:r w:rsidRPr="00041AA0">
        <w:rPr>
          <w:rFonts w:ascii="Times New Roman" w:hAnsi="Times New Roman"/>
          <w:sz w:val="24"/>
          <w:szCs w:val="24"/>
        </w:rPr>
        <w:tab/>
        <w:t xml:space="preserve">Iraq, under the rule of Saddam Hussein, and the Baath party since 1968, suffered greatly in the decade </w:t>
      </w:r>
      <w:r w:rsidR="009D51B8" w:rsidRPr="00041AA0">
        <w:rPr>
          <w:rFonts w:ascii="Times New Roman" w:hAnsi="Times New Roman"/>
          <w:sz w:val="24"/>
          <w:szCs w:val="24"/>
        </w:rPr>
        <w:t>prior</w:t>
      </w:r>
      <w:r w:rsidRPr="00041AA0">
        <w:rPr>
          <w:rFonts w:ascii="Times New Roman" w:hAnsi="Times New Roman"/>
          <w:sz w:val="24"/>
          <w:szCs w:val="24"/>
        </w:rPr>
        <w:t>. Economically maligned by the 8-year war with Iran, 1980-1988, and sanctioned for their invasion of Kuwait in 1990, the Iraqi economy was tumultuous at best, as demonstrated in Figure 1. With total government revenues declining as a result of growing military expenditures and international sanctions</w:t>
      </w:r>
      <w:r w:rsidR="009D51B8" w:rsidRPr="00041AA0">
        <w:rPr>
          <w:rFonts w:ascii="Times New Roman" w:hAnsi="Times New Roman"/>
          <w:sz w:val="24"/>
          <w:szCs w:val="24"/>
        </w:rPr>
        <w:t>.</w:t>
      </w:r>
      <w:r w:rsidRPr="00041AA0">
        <w:rPr>
          <w:rFonts w:ascii="Times New Roman" w:hAnsi="Times New Roman"/>
          <w:sz w:val="24"/>
          <w:szCs w:val="24"/>
        </w:rPr>
        <w:t xml:space="preserve"> </w:t>
      </w:r>
      <w:r w:rsidR="009D51B8" w:rsidRPr="00041AA0">
        <w:rPr>
          <w:rFonts w:ascii="Times New Roman" w:hAnsi="Times New Roman"/>
          <w:sz w:val="24"/>
          <w:szCs w:val="24"/>
        </w:rPr>
        <w:t>As such, t</w:t>
      </w:r>
      <w:r w:rsidRPr="00041AA0">
        <w:rPr>
          <w:rFonts w:ascii="Times New Roman" w:hAnsi="Times New Roman"/>
          <w:sz w:val="24"/>
          <w:szCs w:val="24"/>
        </w:rPr>
        <w:t>he funding for education in Iraq fell considerably, particularly after 1990, leaving a relatively barren system which thirsted for resources and a renewed purpose. Iraq’s education system had once been the envy of the Arab world, a cultural and scientific center, built around a historically great civilization. With free education provided at all levels, and compulsory attendance of Primary School, Iraq maintained a high literacy rate and 100% enrollment in schools throughout the 1980’s. (UNESCO)</w:t>
      </w:r>
    </w:p>
    <w:p w14:paraId="6F8DF396" w14:textId="012E815E" w:rsidR="00FB4291" w:rsidRPr="00041AA0" w:rsidRDefault="008E78DF">
      <w:pPr>
        <w:spacing w:line="360" w:lineRule="auto"/>
        <w:rPr>
          <w:rFonts w:ascii="Times New Roman" w:hAnsi="Times New Roman"/>
          <w:sz w:val="24"/>
          <w:szCs w:val="24"/>
        </w:rPr>
      </w:pPr>
      <w:r w:rsidRPr="00041AA0">
        <w:rPr>
          <w:rFonts w:ascii="Times New Roman" w:hAnsi="Times New Roman"/>
          <w:sz w:val="24"/>
          <w:szCs w:val="24"/>
        </w:rPr>
        <w:t xml:space="preserve">The 1990’s would see the steepest decline </w:t>
      </w:r>
      <w:r w:rsidR="00B4610A" w:rsidRPr="00041AA0">
        <w:rPr>
          <w:rFonts w:ascii="Times New Roman" w:hAnsi="Times New Roman"/>
          <w:sz w:val="24"/>
          <w:szCs w:val="24"/>
        </w:rPr>
        <w:t>in Iraq’s education system</w:t>
      </w:r>
      <w:r w:rsidRPr="00041AA0">
        <w:rPr>
          <w:rFonts w:ascii="Times New Roman" w:hAnsi="Times New Roman"/>
          <w:sz w:val="24"/>
          <w:szCs w:val="24"/>
        </w:rPr>
        <w:t xml:space="preserve">, as the UN Oil for Food Program and UNESCO provided piece-meal patches to a </w:t>
      </w:r>
      <w:r w:rsidR="00B4610A" w:rsidRPr="00041AA0">
        <w:rPr>
          <w:rFonts w:ascii="Times New Roman" w:hAnsi="Times New Roman"/>
          <w:sz w:val="24"/>
          <w:szCs w:val="24"/>
        </w:rPr>
        <w:t>structural</w:t>
      </w:r>
      <w:r w:rsidRPr="00041AA0">
        <w:rPr>
          <w:rFonts w:ascii="Times New Roman" w:hAnsi="Times New Roman"/>
          <w:sz w:val="24"/>
          <w:szCs w:val="24"/>
        </w:rPr>
        <w:t xml:space="preserve"> decline. By the year 2000 the literacy rate for those over 15 years of age had fallen to 74.1%, a result of systemic failures within the educational system. Much of this is attributable to the decline in enrollment</w:t>
      </w:r>
      <w:r w:rsidR="006F2791" w:rsidRPr="00041AA0">
        <w:rPr>
          <w:rFonts w:ascii="Times New Roman" w:hAnsi="Times New Roman"/>
          <w:sz w:val="24"/>
          <w:szCs w:val="24"/>
        </w:rPr>
        <w:t>.</w:t>
      </w:r>
      <w:r w:rsidRPr="00041AA0">
        <w:rPr>
          <w:rFonts w:ascii="Times New Roman" w:hAnsi="Times New Roman"/>
          <w:sz w:val="24"/>
          <w:szCs w:val="24"/>
        </w:rPr>
        <w:t xml:space="preserve"> </w:t>
      </w:r>
      <w:r w:rsidR="006F2791" w:rsidRPr="00041AA0">
        <w:rPr>
          <w:rFonts w:ascii="Times New Roman" w:hAnsi="Times New Roman"/>
          <w:sz w:val="24"/>
          <w:szCs w:val="24"/>
        </w:rPr>
        <w:t>I</w:t>
      </w:r>
      <w:r w:rsidRPr="00041AA0">
        <w:rPr>
          <w:rFonts w:ascii="Times New Roman" w:hAnsi="Times New Roman"/>
          <w:sz w:val="24"/>
          <w:szCs w:val="24"/>
        </w:rPr>
        <w:t>n the decade after international sanctions kindergarten enrollment fell by 14.5%. (UNESCO) While official government statistics place enrollment levels in the low 90% range consistently</w:t>
      </w:r>
      <w:r w:rsidR="006F2791" w:rsidRPr="00041AA0">
        <w:rPr>
          <w:rFonts w:ascii="Times New Roman" w:hAnsi="Times New Roman"/>
          <w:sz w:val="24"/>
          <w:szCs w:val="24"/>
        </w:rPr>
        <w:t>,</w:t>
      </w:r>
      <w:r w:rsidRPr="00041AA0">
        <w:rPr>
          <w:rFonts w:ascii="Times New Roman" w:hAnsi="Times New Roman"/>
          <w:sz w:val="24"/>
          <w:szCs w:val="24"/>
        </w:rPr>
        <w:t xml:space="preserve"> independent surveys found that only 76% of </w:t>
      </w:r>
      <w:r w:rsidR="006F2791" w:rsidRPr="00041AA0">
        <w:rPr>
          <w:rFonts w:ascii="Times New Roman" w:hAnsi="Times New Roman"/>
          <w:sz w:val="24"/>
          <w:szCs w:val="24"/>
        </w:rPr>
        <w:t>Pr</w:t>
      </w:r>
      <w:r w:rsidRPr="00041AA0">
        <w:rPr>
          <w:rFonts w:ascii="Times New Roman" w:hAnsi="Times New Roman"/>
          <w:sz w:val="24"/>
          <w:szCs w:val="24"/>
        </w:rPr>
        <w:t xml:space="preserve">imary </w:t>
      </w:r>
      <w:r w:rsidR="006F2791" w:rsidRPr="00041AA0">
        <w:rPr>
          <w:rFonts w:ascii="Times New Roman" w:hAnsi="Times New Roman"/>
          <w:sz w:val="24"/>
          <w:szCs w:val="24"/>
        </w:rPr>
        <w:t>S</w:t>
      </w:r>
      <w:r w:rsidRPr="00041AA0">
        <w:rPr>
          <w:rFonts w:ascii="Times New Roman" w:hAnsi="Times New Roman"/>
          <w:sz w:val="24"/>
          <w:szCs w:val="24"/>
        </w:rPr>
        <w:t xml:space="preserve">chool age children attended schools. Much of this decline was found in rural areas, those hardest hit by the tumultuous economy and most difficult to reach for international actors. </w:t>
      </w:r>
    </w:p>
    <w:p w14:paraId="33C6B302" w14:textId="0435E6F4" w:rsidR="00FB4291" w:rsidRPr="00041AA0" w:rsidRDefault="008E78DF">
      <w:pPr>
        <w:spacing w:line="360" w:lineRule="auto"/>
        <w:ind w:firstLine="720"/>
        <w:rPr>
          <w:rFonts w:ascii="Times New Roman" w:hAnsi="Times New Roman"/>
          <w:sz w:val="24"/>
          <w:szCs w:val="24"/>
        </w:rPr>
      </w:pPr>
      <w:r w:rsidRPr="00041AA0">
        <w:rPr>
          <w:rFonts w:ascii="Times New Roman" w:hAnsi="Times New Roman"/>
          <w:sz w:val="24"/>
          <w:szCs w:val="24"/>
        </w:rPr>
        <w:lastRenderedPageBreak/>
        <w:t xml:space="preserve">Iraq continued </w:t>
      </w:r>
      <w:r w:rsidR="006F2791" w:rsidRPr="00041AA0">
        <w:rPr>
          <w:rFonts w:ascii="Times New Roman" w:hAnsi="Times New Roman"/>
          <w:sz w:val="24"/>
          <w:szCs w:val="24"/>
        </w:rPr>
        <w:t xml:space="preserve">sought </w:t>
      </w:r>
      <w:r w:rsidRPr="00041AA0">
        <w:rPr>
          <w:rFonts w:ascii="Times New Roman" w:hAnsi="Times New Roman"/>
          <w:sz w:val="24"/>
          <w:szCs w:val="24"/>
        </w:rPr>
        <w:t>to provide free education to all qualified students, even as sanctions hampered imports. Iraqi school children would attend kindergarten before the mandatory primary education, which typically lasted from ages 6 to 12. (IRFAD) Intermediate School would follow for those students able to pass a national exam at the end of Primary School</w:t>
      </w:r>
      <w:r w:rsidR="006F2791" w:rsidRPr="00041AA0">
        <w:rPr>
          <w:rFonts w:ascii="Times New Roman" w:hAnsi="Times New Roman"/>
          <w:sz w:val="24"/>
          <w:szCs w:val="24"/>
        </w:rPr>
        <w:t>;</w:t>
      </w:r>
      <w:r w:rsidRPr="00041AA0">
        <w:rPr>
          <w:rFonts w:ascii="Times New Roman" w:hAnsi="Times New Roman"/>
          <w:sz w:val="24"/>
          <w:szCs w:val="24"/>
        </w:rPr>
        <w:t xml:space="preserve"> however, passing rates were greatly inhibited by a lack of qualified and trained teachers, sparse materials, decrepit facilities, and the demand for child labor in turbulent economic times. Following the first Gulf War, and subsequent sanctions the education sector would be amongst those hit hardest by the lack of imports and economic contraction. Shortly after the imposition of sanctions, the UN began two programs designed to aid Iraq’s development while ensuring for regional peace; the Oil for Food Program (OFFP) and</w:t>
      </w:r>
      <w:r w:rsidR="006F2791" w:rsidRPr="00041AA0">
        <w:rPr>
          <w:rFonts w:ascii="Times New Roman" w:hAnsi="Times New Roman"/>
          <w:sz w:val="24"/>
          <w:szCs w:val="24"/>
        </w:rPr>
        <w:t xml:space="preserve"> a</w:t>
      </w:r>
      <w:r w:rsidRPr="00041AA0">
        <w:rPr>
          <w:rFonts w:ascii="Times New Roman" w:hAnsi="Times New Roman"/>
          <w:sz w:val="24"/>
          <w:szCs w:val="24"/>
        </w:rPr>
        <w:t xml:space="preserve"> UNESCO</w:t>
      </w:r>
      <w:r w:rsidR="006F2791" w:rsidRPr="00041AA0">
        <w:rPr>
          <w:rFonts w:ascii="Times New Roman" w:hAnsi="Times New Roman"/>
          <w:sz w:val="24"/>
          <w:szCs w:val="24"/>
        </w:rPr>
        <w:t xml:space="preserve"> led effort</w:t>
      </w:r>
      <w:r w:rsidRPr="00041AA0">
        <w:rPr>
          <w:rFonts w:ascii="Times New Roman" w:hAnsi="Times New Roman"/>
          <w:sz w:val="24"/>
          <w:szCs w:val="24"/>
        </w:rPr>
        <w:t xml:space="preserve">. The OFFP allowed Iraq to sell oil to the United Nations </w:t>
      </w:r>
      <w:r w:rsidR="006F2791" w:rsidRPr="00041AA0">
        <w:rPr>
          <w:rFonts w:ascii="Times New Roman" w:hAnsi="Times New Roman"/>
          <w:sz w:val="24"/>
          <w:szCs w:val="24"/>
        </w:rPr>
        <w:t>in exchange for deliveries of</w:t>
      </w:r>
      <w:r w:rsidRPr="00041AA0">
        <w:rPr>
          <w:rFonts w:ascii="Times New Roman" w:hAnsi="Times New Roman"/>
          <w:sz w:val="24"/>
          <w:szCs w:val="24"/>
        </w:rPr>
        <w:t xml:space="preserve"> food, medicine, educational supplies, and other approved materials for Iraq. UNESCO</w:t>
      </w:r>
      <w:r w:rsidR="006F2791" w:rsidRPr="00041AA0">
        <w:rPr>
          <w:rFonts w:ascii="Times New Roman" w:hAnsi="Times New Roman"/>
          <w:sz w:val="24"/>
          <w:szCs w:val="24"/>
        </w:rPr>
        <w:t>’s programs</w:t>
      </w:r>
      <w:r w:rsidRPr="00041AA0">
        <w:rPr>
          <w:rFonts w:ascii="Times New Roman" w:hAnsi="Times New Roman"/>
          <w:sz w:val="24"/>
          <w:szCs w:val="24"/>
        </w:rPr>
        <w:t xml:space="preserve"> primarily serviced northern Iraq</w:t>
      </w:r>
      <w:r w:rsidR="006F2791" w:rsidRPr="00041AA0">
        <w:rPr>
          <w:rFonts w:ascii="Times New Roman" w:hAnsi="Times New Roman"/>
          <w:sz w:val="24"/>
          <w:szCs w:val="24"/>
        </w:rPr>
        <w:t xml:space="preserve">, </w:t>
      </w:r>
      <w:r w:rsidRPr="00041AA0">
        <w:rPr>
          <w:rFonts w:ascii="Times New Roman" w:hAnsi="Times New Roman"/>
          <w:sz w:val="24"/>
          <w:szCs w:val="24"/>
        </w:rPr>
        <w:t>provid</w:t>
      </w:r>
      <w:r w:rsidR="006F2791" w:rsidRPr="00041AA0">
        <w:rPr>
          <w:rFonts w:ascii="Times New Roman" w:hAnsi="Times New Roman"/>
          <w:sz w:val="24"/>
          <w:szCs w:val="24"/>
        </w:rPr>
        <w:t>ing</w:t>
      </w:r>
      <w:r w:rsidRPr="00041AA0">
        <w:rPr>
          <w:rFonts w:ascii="Times New Roman" w:hAnsi="Times New Roman"/>
          <w:sz w:val="24"/>
          <w:szCs w:val="24"/>
        </w:rPr>
        <w:t xml:space="preserve"> educational supplies and training. </w:t>
      </w:r>
    </w:p>
    <w:p w14:paraId="68CE34C2" w14:textId="50184A26" w:rsidR="00FB4291" w:rsidRPr="00041AA0" w:rsidRDefault="008E78DF">
      <w:pPr>
        <w:spacing w:line="360" w:lineRule="auto"/>
        <w:ind w:firstLine="720"/>
        <w:rPr>
          <w:sz w:val="24"/>
          <w:szCs w:val="24"/>
        </w:rPr>
      </w:pPr>
      <w:r w:rsidRPr="00041AA0">
        <w:rPr>
          <w:rFonts w:ascii="Times New Roman" w:hAnsi="Times New Roman"/>
          <w:sz w:val="24"/>
          <w:szCs w:val="24"/>
        </w:rPr>
        <w:t>Sanctions</w:t>
      </w:r>
      <w:r w:rsidR="006F2791" w:rsidRPr="00041AA0">
        <w:rPr>
          <w:rFonts w:ascii="Times New Roman" w:hAnsi="Times New Roman"/>
          <w:sz w:val="24"/>
          <w:szCs w:val="24"/>
        </w:rPr>
        <w:t xml:space="preserve"> and plummeting salaries</w:t>
      </w:r>
      <w:r w:rsidRPr="00041AA0">
        <w:rPr>
          <w:rFonts w:ascii="Times New Roman" w:hAnsi="Times New Roman"/>
          <w:sz w:val="24"/>
          <w:szCs w:val="24"/>
        </w:rPr>
        <w:t xml:space="preserve"> crippled Iraq’s education system. Sanctions drastically reduced Iraqi educators’ access to instructional material such as modern textbooks, magazines, books, and newspapers. The Ministry of Education, which had previously produced all of the nation’s textbooks domestically, saw 2/</w:t>
      </w:r>
      <w:proofErr w:type="gramStart"/>
      <w:r w:rsidRPr="00041AA0">
        <w:rPr>
          <w:rFonts w:ascii="Times New Roman" w:hAnsi="Times New Roman"/>
          <w:sz w:val="24"/>
          <w:szCs w:val="24"/>
        </w:rPr>
        <w:t>3</w:t>
      </w:r>
      <w:r w:rsidRPr="00041AA0">
        <w:rPr>
          <w:rFonts w:ascii="Times New Roman" w:hAnsi="Times New Roman"/>
          <w:sz w:val="24"/>
          <w:szCs w:val="24"/>
          <w:vertAlign w:val="superscript"/>
        </w:rPr>
        <w:t>rd’s</w:t>
      </w:r>
      <w:proofErr w:type="gramEnd"/>
      <w:r w:rsidRPr="00041AA0">
        <w:rPr>
          <w:rFonts w:ascii="Times New Roman" w:hAnsi="Times New Roman"/>
          <w:sz w:val="24"/>
          <w:szCs w:val="24"/>
        </w:rPr>
        <w:t xml:space="preserve"> of their printing capacity taken off line as spare parts and supplies for printing presses became inaccessible under UN sanctions. (UNESCO) Teacher’s salaries fell to 1/100</w:t>
      </w:r>
      <w:r w:rsidRPr="00041AA0">
        <w:rPr>
          <w:rFonts w:ascii="Times New Roman" w:hAnsi="Times New Roman"/>
          <w:sz w:val="24"/>
          <w:szCs w:val="24"/>
          <w:vertAlign w:val="superscript"/>
        </w:rPr>
        <w:t>th</w:t>
      </w:r>
      <w:r w:rsidRPr="00041AA0">
        <w:rPr>
          <w:rFonts w:ascii="Times New Roman" w:hAnsi="Times New Roman"/>
          <w:sz w:val="24"/>
          <w:szCs w:val="24"/>
        </w:rPr>
        <w:t xml:space="preserve"> of their levels from the 1980’s, bottoming at just 5-10$ per month by the year 2000. The drastic decline in salaries saw many qualified teachers leave the profession, with an influx of untrained teachers</w:t>
      </w:r>
      <w:r w:rsidR="006F2791" w:rsidRPr="00041AA0">
        <w:rPr>
          <w:rFonts w:ascii="Times New Roman" w:hAnsi="Times New Roman"/>
          <w:sz w:val="24"/>
          <w:szCs w:val="24"/>
        </w:rPr>
        <w:t>,</w:t>
      </w:r>
      <w:r w:rsidRPr="00041AA0">
        <w:rPr>
          <w:rFonts w:ascii="Times New Roman" w:hAnsi="Times New Roman"/>
          <w:sz w:val="24"/>
          <w:szCs w:val="24"/>
        </w:rPr>
        <w:t xml:space="preserve"> and an overall rise of female participation in the industry. (</w:t>
      </w:r>
      <w:r w:rsidR="00D62177" w:rsidRPr="00041AA0">
        <w:rPr>
          <w:rFonts w:ascii="Times New Roman" w:hAnsi="Times New Roman"/>
          <w:sz w:val="24"/>
          <w:szCs w:val="24"/>
        </w:rPr>
        <w:t>UNOHCI</w:t>
      </w:r>
      <w:r w:rsidRPr="00041AA0">
        <w:rPr>
          <w:rFonts w:ascii="Times New Roman" w:hAnsi="Times New Roman"/>
          <w:sz w:val="24"/>
          <w:szCs w:val="24"/>
        </w:rPr>
        <w:t>) While the OFFP provided $561 million in educational supplies the money could not be allocated to teacher salaries. When OFFP materials began to arrive in 1997 the capacity of schools was greatly improved as textbooks and other educational needs were addressed with quality western sourced materials. Following the reduction in salaries and implementation of sanctions only 5% of Iraqi teachers had completed secondary school, the equivalent of the 12</w:t>
      </w:r>
      <w:r w:rsidRPr="00041AA0">
        <w:rPr>
          <w:rFonts w:ascii="Times New Roman" w:hAnsi="Times New Roman"/>
          <w:sz w:val="24"/>
          <w:szCs w:val="24"/>
          <w:vertAlign w:val="superscript"/>
        </w:rPr>
        <w:t>th</w:t>
      </w:r>
      <w:r w:rsidRPr="00041AA0">
        <w:rPr>
          <w:rFonts w:ascii="Times New Roman" w:hAnsi="Times New Roman"/>
          <w:sz w:val="24"/>
          <w:szCs w:val="24"/>
        </w:rPr>
        <w:t xml:space="preserve"> grade. (UNESCO) Despite the arrival of new materials, the decline in teacher’s salaries and harsh economic conditions saw </w:t>
      </w:r>
      <w:r w:rsidR="00D62177" w:rsidRPr="00041AA0">
        <w:rPr>
          <w:rFonts w:ascii="Times New Roman" w:hAnsi="Times New Roman"/>
          <w:sz w:val="24"/>
          <w:szCs w:val="24"/>
        </w:rPr>
        <w:t>dropout</w:t>
      </w:r>
      <w:r w:rsidRPr="00041AA0">
        <w:rPr>
          <w:rFonts w:ascii="Times New Roman" w:hAnsi="Times New Roman"/>
          <w:sz w:val="24"/>
          <w:szCs w:val="24"/>
        </w:rPr>
        <w:t xml:space="preserve"> rates f</w:t>
      </w:r>
      <w:r w:rsidR="006F2791" w:rsidRPr="00041AA0">
        <w:rPr>
          <w:rFonts w:ascii="Times New Roman" w:hAnsi="Times New Roman"/>
          <w:sz w:val="24"/>
          <w:szCs w:val="24"/>
        </w:rPr>
        <w:t>or</w:t>
      </w:r>
      <w:r w:rsidRPr="00041AA0">
        <w:rPr>
          <w:rFonts w:ascii="Times New Roman" w:hAnsi="Times New Roman"/>
          <w:sz w:val="24"/>
          <w:szCs w:val="24"/>
        </w:rPr>
        <w:t xml:space="preserve"> mandatory primary school</w:t>
      </w:r>
      <w:r w:rsidR="006F2791" w:rsidRPr="00041AA0">
        <w:rPr>
          <w:rFonts w:ascii="Times New Roman" w:hAnsi="Times New Roman"/>
          <w:sz w:val="24"/>
          <w:szCs w:val="24"/>
        </w:rPr>
        <w:t>ing</w:t>
      </w:r>
      <w:r w:rsidRPr="00041AA0">
        <w:rPr>
          <w:rFonts w:ascii="Times New Roman" w:hAnsi="Times New Roman"/>
          <w:sz w:val="24"/>
          <w:szCs w:val="24"/>
        </w:rPr>
        <w:t xml:space="preserve"> approach 30% and grade retention rates regularly exceed 10%. (</w:t>
      </w:r>
      <w:proofErr w:type="spellStart"/>
      <w:r w:rsidR="00D62177" w:rsidRPr="00041AA0">
        <w:rPr>
          <w:rFonts w:ascii="Times New Roman" w:hAnsi="Times New Roman"/>
          <w:sz w:val="24"/>
          <w:szCs w:val="24"/>
        </w:rPr>
        <w:t>Alwan</w:t>
      </w:r>
      <w:proofErr w:type="spellEnd"/>
      <w:r w:rsidR="00D62177" w:rsidRPr="00041AA0">
        <w:rPr>
          <w:rFonts w:ascii="Times New Roman" w:hAnsi="Times New Roman"/>
          <w:sz w:val="24"/>
          <w:szCs w:val="24"/>
        </w:rPr>
        <w:t xml:space="preserve">) </w:t>
      </w:r>
      <w:r w:rsidRPr="00041AA0">
        <w:rPr>
          <w:rFonts w:ascii="Times New Roman" w:hAnsi="Times New Roman"/>
          <w:sz w:val="24"/>
          <w:szCs w:val="24"/>
        </w:rPr>
        <w:t xml:space="preserve">While the governments promise to continue providing free education to Iraq’s youth was maintained it was done so only through extreme cuts to the quality and diminished demand. </w:t>
      </w:r>
    </w:p>
    <w:p w14:paraId="49CAD8EF" w14:textId="4CE5DC57" w:rsidR="00FB4291" w:rsidRPr="00041AA0" w:rsidRDefault="008E78DF">
      <w:pPr>
        <w:spacing w:line="360" w:lineRule="auto"/>
        <w:ind w:firstLine="720"/>
        <w:rPr>
          <w:rFonts w:ascii="Times New Roman" w:hAnsi="Times New Roman"/>
          <w:sz w:val="24"/>
          <w:szCs w:val="24"/>
        </w:rPr>
      </w:pPr>
      <w:r w:rsidRPr="00041AA0">
        <w:rPr>
          <w:rFonts w:ascii="Times New Roman" w:hAnsi="Times New Roman"/>
          <w:sz w:val="24"/>
          <w:szCs w:val="24"/>
        </w:rPr>
        <w:lastRenderedPageBreak/>
        <w:t>The OFFP and UNESCO</w:t>
      </w:r>
      <w:r w:rsidR="009B1DB8" w:rsidRPr="00041AA0">
        <w:rPr>
          <w:rFonts w:ascii="Times New Roman" w:hAnsi="Times New Roman"/>
          <w:sz w:val="24"/>
          <w:szCs w:val="24"/>
        </w:rPr>
        <w:t xml:space="preserve"> </w:t>
      </w:r>
      <w:r w:rsidRPr="00041AA0">
        <w:rPr>
          <w:rFonts w:ascii="Times New Roman" w:hAnsi="Times New Roman"/>
          <w:sz w:val="24"/>
          <w:szCs w:val="24"/>
        </w:rPr>
        <w:t xml:space="preserve">delivered funding and training for Iraq’s education system, primarily serving as </w:t>
      </w:r>
      <w:r w:rsidR="009B1DB8" w:rsidRPr="00041AA0">
        <w:rPr>
          <w:rFonts w:ascii="Times New Roman" w:hAnsi="Times New Roman"/>
          <w:sz w:val="24"/>
          <w:szCs w:val="24"/>
        </w:rPr>
        <w:t>providers, observers, and advisors</w:t>
      </w:r>
      <w:r w:rsidRPr="00041AA0">
        <w:rPr>
          <w:rFonts w:ascii="Times New Roman" w:hAnsi="Times New Roman"/>
          <w:sz w:val="24"/>
          <w:szCs w:val="24"/>
        </w:rPr>
        <w:t xml:space="preserve">. International actors channeled expertise and resources under the direction of Saddam’s Ministry of Education. This would serve in contrast to much of the rebuilding effort undertaken following the 2003 coalition invasion, in which foreign actors would frequently take the lead or work as equals </w:t>
      </w:r>
      <w:r w:rsidR="009B1DB8" w:rsidRPr="00041AA0">
        <w:rPr>
          <w:rFonts w:ascii="Times New Roman" w:hAnsi="Times New Roman"/>
          <w:sz w:val="24"/>
          <w:szCs w:val="24"/>
        </w:rPr>
        <w:t>while re</w:t>
      </w:r>
      <w:r w:rsidRPr="00041AA0">
        <w:rPr>
          <w:rFonts w:ascii="Times New Roman" w:hAnsi="Times New Roman"/>
          <w:sz w:val="24"/>
          <w:szCs w:val="24"/>
        </w:rPr>
        <w:t>structur</w:t>
      </w:r>
      <w:r w:rsidR="009B1DB8" w:rsidRPr="00041AA0">
        <w:rPr>
          <w:rFonts w:ascii="Times New Roman" w:hAnsi="Times New Roman"/>
          <w:sz w:val="24"/>
          <w:szCs w:val="24"/>
        </w:rPr>
        <w:t>ing</w:t>
      </w:r>
      <w:r w:rsidRPr="00041AA0">
        <w:rPr>
          <w:rFonts w:ascii="Times New Roman" w:hAnsi="Times New Roman"/>
          <w:sz w:val="24"/>
          <w:szCs w:val="24"/>
        </w:rPr>
        <w:t>, develop</w:t>
      </w:r>
      <w:r w:rsidR="009B1DB8" w:rsidRPr="00041AA0">
        <w:rPr>
          <w:rFonts w:ascii="Times New Roman" w:hAnsi="Times New Roman"/>
          <w:sz w:val="24"/>
          <w:szCs w:val="24"/>
        </w:rPr>
        <w:t>ing</w:t>
      </w:r>
      <w:r w:rsidRPr="00041AA0">
        <w:rPr>
          <w:rFonts w:ascii="Times New Roman" w:hAnsi="Times New Roman"/>
          <w:sz w:val="24"/>
          <w:szCs w:val="24"/>
        </w:rPr>
        <w:t>, and operat</w:t>
      </w:r>
      <w:r w:rsidR="009B1DB8" w:rsidRPr="00041AA0">
        <w:rPr>
          <w:rFonts w:ascii="Times New Roman" w:hAnsi="Times New Roman"/>
          <w:sz w:val="24"/>
          <w:szCs w:val="24"/>
        </w:rPr>
        <w:t xml:space="preserve">ing </w:t>
      </w:r>
      <w:r w:rsidRPr="00041AA0">
        <w:rPr>
          <w:rFonts w:ascii="Times New Roman" w:hAnsi="Times New Roman"/>
          <w:sz w:val="24"/>
          <w:szCs w:val="24"/>
        </w:rPr>
        <w:t>the Ministry of Education.</w:t>
      </w:r>
      <w:r w:rsidR="00D62177" w:rsidRPr="00041AA0">
        <w:rPr>
          <w:rFonts w:ascii="Times New Roman" w:hAnsi="Times New Roman"/>
          <w:sz w:val="24"/>
          <w:szCs w:val="24"/>
        </w:rPr>
        <w:t xml:space="preserve"> (SIGIR)</w:t>
      </w:r>
      <w:r w:rsidRPr="00041AA0">
        <w:rPr>
          <w:rFonts w:ascii="Times New Roman" w:hAnsi="Times New Roman"/>
          <w:sz w:val="24"/>
          <w:szCs w:val="24"/>
        </w:rPr>
        <w:t xml:space="preserve"> The Coalition Provincial Authority, aka the CPA, </w:t>
      </w:r>
      <w:r w:rsidR="00D62177" w:rsidRPr="00041AA0">
        <w:rPr>
          <w:rFonts w:ascii="Times New Roman" w:hAnsi="Times New Roman"/>
          <w:sz w:val="24"/>
          <w:szCs w:val="24"/>
        </w:rPr>
        <w:t>led</w:t>
      </w:r>
      <w:r w:rsidRPr="00041AA0">
        <w:rPr>
          <w:rFonts w:ascii="Times New Roman" w:hAnsi="Times New Roman"/>
          <w:sz w:val="24"/>
          <w:szCs w:val="24"/>
        </w:rPr>
        <w:t xml:space="preserve"> by Paul Bremer, identified four major target areas for improvement: educational facilities, curriculum, teacher pay, and teacher training. While the CPA was accurately able to assess the needs of the system the structural deterioration was underestimated and eventual failings in key areas such as curriculum development only exacerbated</w:t>
      </w:r>
      <w:r w:rsidR="009B1DB8" w:rsidRPr="00041AA0">
        <w:rPr>
          <w:rFonts w:ascii="Times New Roman" w:hAnsi="Times New Roman"/>
          <w:sz w:val="24"/>
          <w:szCs w:val="24"/>
        </w:rPr>
        <w:t xml:space="preserve"> the political upheaval, sectarian tensions, and</w:t>
      </w:r>
      <w:r w:rsidRPr="00041AA0">
        <w:rPr>
          <w:rFonts w:ascii="Times New Roman" w:hAnsi="Times New Roman"/>
          <w:sz w:val="24"/>
          <w:szCs w:val="24"/>
        </w:rPr>
        <w:t xml:space="preserve"> security situation. </w:t>
      </w:r>
    </w:p>
    <w:p w14:paraId="05F1163B" w14:textId="4C873EC5" w:rsidR="00FB4291" w:rsidRPr="00041AA0" w:rsidRDefault="008E78DF">
      <w:pPr>
        <w:spacing w:line="360" w:lineRule="auto"/>
        <w:ind w:firstLine="720"/>
        <w:rPr>
          <w:rFonts w:ascii="Times New Roman" w:hAnsi="Times New Roman"/>
          <w:sz w:val="24"/>
          <w:szCs w:val="24"/>
        </w:rPr>
      </w:pPr>
      <w:r w:rsidRPr="00041AA0">
        <w:rPr>
          <w:rFonts w:ascii="Times New Roman" w:hAnsi="Times New Roman"/>
          <w:sz w:val="24"/>
          <w:szCs w:val="24"/>
        </w:rPr>
        <w:t>The structural degradation of schools and educational facilities was only further eroded by the mass looting which took place in the spring of 2003</w:t>
      </w:r>
      <w:r w:rsidR="009B1DB8" w:rsidRPr="00041AA0">
        <w:rPr>
          <w:rFonts w:ascii="Times New Roman" w:hAnsi="Times New Roman"/>
          <w:sz w:val="24"/>
          <w:szCs w:val="24"/>
        </w:rPr>
        <w:t xml:space="preserve">. </w:t>
      </w:r>
      <w:r w:rsidRPr="00041AA0">
        <w:rPr>
          <w:rFonts w:ascii="Times New Roman" w:hAnsi="Times New Roman"/>
          <w:sz w:val="24"/>
          <w:szCs w:val="24"/>
        </w:rPr>
        <w:t>Surpassing initial estimates, the CPA determined that 80% of all schools failed to meet sanitation standards and over 40% lacked consistent access to potable water by the summer of 2003. (IRFAD) Textbooks, electronics, and anything of value was regularly looted from schools in</w:t>
      </w:r>
      <w:r w:rsidR="009B1DB8" w:rsidRPr="00041AA0">
        <w:rPr>
          <w:rFonts w:ascii="Times New Roman" w:hAnsi="Times New Roman"/>
          <w:sz w:val="24"/>
          <w:szCs w:val="24"/>
        </w:rPr>
        <w:t xml:space="preserve"> the </w:t>
      </w:r>
      <w:r w:rsidRPr="00041AA0">
        <w:rPr>
          <w:rFonts w:ascii="Times New Roman" w:hAnsi="Times New Roman"/>
          <w:sz w:val="24"/>
          <w:szCs w:val="24"/>
        </w:rPr>
        <w:t xml:space="preserve">chaotic period between invasion and occupation. A 2004 CPA report concluded that 80% of the materials from technical and vocational schools had been stolen or </w:t>
      </w:r>
      <w:r w:rsidR="009B1DB8" w:rsidRPr="00041AA0">
        <w:rPr>
          <w:rFonts w:ascii="Times New Roman" w:hAnsi="Times New Roman"/>
          <w:sz w:val="24"/>
          <w:szCs w:val="24"/>
        </w:rPr>
        <w:t>damaged</w:t>
      </w:r>
      <w:r w:rsidRPr="00041AA0">
        <w:rPr>
          <w:rFonts w:ascii="Times New Roman" w:hAnsi="Times New Roman"/>
          <w:sz w:val="24"/>
          <w:szCs w:val="24"/>
        </w:rPr>
        <w:t>. (Rand) Prior to the implementation of a counterinsurgency-based strategy in the summer of 2004 the prevention of looting and property crimes were relatively low priorities for the CPA. (</w:t>
      </w:r>
      <w:r w:rsidR="00B92A50" w:rsidRPr="00041AA0">
        <w:rPr>
          <w:rFonts w:ascii="Times New Roman" w:hAnsi="Times New Roman"/>
          <w:sz w:val="24"/>
          <w:szCs w:val="24"/>
        </w:rPr>
        <w:t>SIGIR</w:t>
      </w:r>
      <w:r w:rsidRPr="00041AA0">
        <w:rPr>
          <w:rFonts w:ascii="Times New Roman" w:hAnsi="Times New Roman"/>
          <w:sz w:val="24"/>
          <w:szCs w:val="24"/>
        </w:rPr>
        <w:t>)</w:t>
      </w:r>
    </w:p>
    <w:p w14:paraId="0CEE7AE7" w14:textId="7DE07370" w:rsidR="00FB4291" w:rsidRPr="00041AA0" w:rsidRDefault="008E78DF">
      <w:pPr>
        <w:spacing w:line="360" w:lineRule="auto"/>
        <w:ind w:firstLine="720"/>
        <w:rPr>
          <w:rFonts w:ascii="Times New Roman" w:hAnsi="Times New Roman"/>
          <w:sz w:val="24"/>
          <w:szCs w:val="24"/>
        </w:rPr>
      </w:pPr>
      <w:r w:rsidRPr="00041AA0">
        <w:rPr>
          <w:rFonts w:ascii="Times New Roman" w:hAnsi="Times New Roman"/>
          <w:sz w:val="24"/>
          <w:szCs w:val="24"/>
        </w:rPr>
        <w:t>While the OFFP program was able to rehabilitate 1444 school</w:t>
      </w:r>
      <w:r w:rsidR="009B1DB8" w:rsidRPr="00041AA0">
        <w:rPr>
          <w:rFonts w:ascii="Times New Roman" w:hAnsi="Times New Roman"/>
          <w:sz w:val="24"/>
          <w:szCs w:val="24"/>
        </w:rPr>
        <w:t>s before 2003</w:t>
      </w:r>
      <w:r w:rsidRPr="00041AA0">
        <w:rPr>
          <w:rFonts w:ascii="Times New Roman" w:hAnsi="Times New Roman"/>
          <w:sz w:val="24"/>
          <w:szCs w:val="24"/>
        </w:rPr>
        <w:t xml:space="preserve"> the CPA saw a need for 5000 new schools and the repairs of a further 4000. Over 67% of existing schools would need to be rehabilitated or </w:t>
      </w:r>
      <w:r w:rsidR="009B1DB8" w:rsidRPr="00041AA0">
        <w:rPr>
          <w:rFonts w:ascii="Times New Roman" w:hAnsi="Times New Roman"/>
          <w:sz w:val="24"/>
          <w:szCs w:val="24"/>
        </w:rPr>
        <w:t>abandoned</w:t>
      </w:r>
      <w:r w:rsidRPr="00041AA0">
        <w:rPr>
          <w:rFonts w:ascii="Times New Roman" w:hAnsi="Times New Roman"/>
          <w:sz w:val="24"/>
          <w:szCs w:val="24"/>
        </w:rPr>
        <w:t>, posing a significant long-term challenge for Iraq and the coalition. Much of the rehabilitation of schools was outsourced by US contractors, and eventually carried out by Iraqi laborers, Bechtel, using local labor was able to rehabilitate 82.6% of their assigned schools in three months, employing 30,000 Iraqis in the process. (</w:t>
      </w:r>
      <w:r w:rsidR="00B92A50" w:rsidRPr="00041AA0">
        <w:rPr>
          <w:rFonts w:ascii="Times New Roman" w:hAnsi="Times New Roman"/>
          <w:sz w:val="24"/>
          <w:szCs w:val="24"/>
        </w:rPr>
        <w:t>Mumm)</w:t>
      </w:r>
      <w:r w:rsidRPr="00041AA0">
        <w:rPr>
          <w:rFonts w:ascii="Times New Roman" w:hAnsi="Times New Roman"/>
          <w:sz w:val="24"/>
          <w:szCs w:val="24"/>
        </w:rPr>
        <w:t xml:space="preserve"> With oversight from USAID and SIGUR, much was done to increase the capacity of Iraq’s education system</w:t>
      </w:r>
      <w:r w:rsidR="009B1DB8" w:rsidRPr="00041AA0">
        <w:rPr>
          <w:rFonts w:ascii="Times New Roman" w:hAnsi="Times New Roman"/>
          <w:sz w:val="24"/>
          <w:szCs w:val="24"/>
        </w:rPr>
        <w:t xml:space="preserve"> in 2003</w:t>
      </w:r>
      <w:r w:rsidRPr="00041AA0">
        <w:rPr>
          <w:rFonts w:ascii="Times New Roman" w:hAnsi="Times New Roman"/>
          <w:sz w:val="24"/>
          <w:szCs w:val="24"/>
        </w:rPr>
        <w:t xml:space="preserve">, as displayed in Figure 2. However, the enormous deficit could not be overcome as demonstrated in Figure 3. </w:t>
      </w:r>
    </w:p>
    <w:p w14:paraId="33ED9C80" w14:textId="77777777" w:rsidR="00FB4291" w:rsidRPr="00041AA0" w:rsidRDefault="008E78DF">
      <w:pPr>
        <w:spacing w:line="360" w:lineRule="auto"/>
        <w:ind w:firstLine="720"/>
        <w:rPr>
          <w:rFonts w:ascii="Times New Roman" w:hAnsi="Times New Roman"/>
          <w:sz w:val="24"/>
          <w:szCs w:val="24"/>
        </w:rPr>
      </w:pPr>
      <w:r w:rsidRPr="00041AA0">
        <w:rPr>
          <w:rFonts w:ascii="Times New Roman" w:hAnsi="Times New Roman"/>
          <w:sz w:val="24"/>
          <w:szCs w:val="24"/>
        </w:rPr>
        <w:lastRenderedPageBreak/>
        <w:t xml:space="preserve">The underestimation and subsequently slow rehabilitation of school facilities served to undermine coalition forces and failed to provide the necessary stabilizing effect on Iraqi society. </w:t>
      </w:r>
    </w:p>
    <w:p w14:paraId="3D99B743" w14:textId="778BE3E0" w:rsidR="00FB4291" w:rsidRPr="00041AA0" w:rsidRDefault="008E78DF">
      <w:pPr>
        <w:spacing w:line="360" w:lineRule="auto"/>
        <w:ind w:firstLine="720"/>
        <w:rPr>
          <w:rFonts w:ascii="Times New Roman" w:hAnsi="Times New Roman"/>
          <w:sz w:val="24"/>
          <w:szCs w:val="24"/>
        </w:rPr>
      </w:pPr>
      <w:r w:rsidRPr="00041AA0">
        <w:rPr>
          <w:rFonts w:ascii="Times New Roman" w:hAnsi="Times New Roman"/>
          <w:sz w:val="24"/>
          <w:szCs w:val="24"/>
        </w:rPr>
        <w:t xml:space="preserve">Establishing a singular curriculum for Iraqi students would ideally reinforce a sense of national identity, remove sectarian tensions, and prepare the nation’s youth for future employment and prosperity. Laterally, success in the Ministry of Education could foster support for the CPA and subsequent democratic Iraqi government. Instead, sectarian tensions between the previously oppressed Shia minority and the newly marginalized Sunni, engulfed the nation, with the debate over curriculum serving to further enflame tensions. In a nation with a multitude of ethnic and religious groups the conception of a singular unified and agreeable curriculum would be an immense hurdle. Balancing the need to create a new national identity following the abrupt de-Baathification instituted by Bremer and the CPA, with the divergent view’s foreign actors and diverse Iraqi stakeholders </w:t>
      </w:r>
      <w:r w:rsidR="005B32D1" w:rsidRPr="00041AA0">
        <w:rPr>
          <w:rFonts w:ascii="Times New Roman" w:hAnsi="Times New Roman"/>
          <w:sz w:val="24"/>
          <w:szCs w:val="24"/>
        </w:rPr>
        <w:t xml:space="preserve">held </w:t>
      </w:r>
      <w:r w:rsidRPr="00041AA0">
        <w:rPr>
          <w:rFonts w:ascii="Times New Roman" w:hAnsi="Times New Roman"/>
          <w:sz w:val="24"/>
          <w:szCs w:val="24"/>
        </w:rPr>
        <w:t>would prove an insurmountable task. Iraq’s Ministry of Education received considerable input from the Baghdad Institute, a Washington D.C. based lobbying group which promoted a strongly secularized curriculum in combination with western instructional methods.</w:t>
      </w:r>
      <w:r w:rsidR="00D62177" w:rsidRPr="00041AA0">
        <w:rPr>
          <w:rFonts w:ascii="Times New Roman" w:hAnsi="Times New Roman"/>
          <w:sz w:val="24"/>
          <w:szCs w:val="24"/>
        </w:rPr>
        <w:t xml:space="preserve"> (Bacon)</w:t>
      </w:r>
      <w:r w:rsidRPr="00041AA0">
        <w:rPr>
          <w:rFonts w:ascii="Times New Roman" w:hAnsi="Times New Roman"/>
          <w:sz w:val="24"/>
          <w:szCs w:val="24"/>
        </w:rPr>
        <w:t xml:space="preserve"> </w:t>
      </w:r>
      <w:r w:rsidR="00D62177" w:rsidRPr="00041AA0">
        <w:rPr>
          <w:rFonts w:ascii="Times New Roman" w:hAnsi="Times New Roman"/>
          <w:sz w:val="24"/>
          <w:szCs w:val="24"/>
        </w:rPr>
        <w:t>(</w:t>
      </w:r>
      <w:proofErr w:type="spellStart"/>
      <w:r w:rsidR="00D62177" w:rsidRPr="00041AA0">
        <w:rPr>
          <w:rFonts w:ascii="Times New Roman" w:hAnsi="Times New Roman"/>
          <w:sz w:val="24"/>
          <w:szCs w:val="24"/>
        </w:rPr>
        <w:t>Gusterson</w:t>
      </w:r>
      <w:proofErr w:type="spellEnd"/>
      <w:r w:rsidR="00D62177" w:rsidRPr="00041AA0">
        <w:rPr>
          <w:rFonts w:ascii="Times New Roman" w:hAnsi="Times New Roman"/>
          <w:sz w:val="24"/>
          <w:szCs w:val="24"/>
        </w:rPr>
        <w:t>)</w:t>
      </w:r>
      <w:r w:rsidRPr="00041AA0">
        <w:rPr>
          <w:rFonts w:ascii="Times New Roman" w:hAnsi="Times New Roman"/>
          <w:sz w:val="24"/>
          <w:szCs w:val="24"/>
        </w:rPr>
        <w:t>This was ill received by the Iraqi Ministry of Education which saw such proposals as an attack on their religious identity and the cultural heritage of Arabic teaching methods. Iraqi textbooks had long been subject to the political whims of Saddam, and history books were edited to support the Baath party. Even shipments of books delivered by UNESCO required Baath party approval and served as propaganda to students. (</w:t>
      </w:r>
      <w:r w:rsidR="00B92A50" w:rsidRPr="00041AA0">
        <w:rPr>
          <w:rFonts w:ascii="Times New Roman" w:hAnsi="Times New Roman"/>
          <w:sz w:val="24"/>
          <w:szCs w:val="24"/>
        </w:rPr>
        <w:t>Asquith</w:t>
      </w:r>
      <w:r w:rsidRPr="00041AA0">
        <w:rPr>
          <w:rFonts w:ascii="Times New Roman" w:hAnsi="Times New Roman"/>
          <w:sz w:val="24"/>
          <w:szCs w:val="24"/>
        </w:rPr>
        <w:t>) Competing groups sought to shape perceptions of the United States, Iraq’s recent wars, and the image of Saddam Hussein. The sectarian violence that emerged in the spring of 2004 following the battle of Fallujah</w:t>
      </w:r>
      <w:r w:rsidR="009D51B8" w:rsidRPr="00041AA0">
        <w:rPr>
          <w:rFonts w:ascii="Times New Roman" w:hAnsi="Times New Roman"/>
          <w:sz w:val="24"/>
          <w:szCs w:val="24"/>
        </w:rPr>
        <w:t>,</w:t>
      </w:r>
      <w:r w:rsidRPr="00041AA0">
        <w:rPr>
          <w:rFonts w:ascii="Times New Roman" w:hAnsi="Times New Roman"/>
          <w:sz w:val="24"/>
          <w:szCs w:val="24"/>
        </w:rPr>
        <w:t xml:space="preserve"> and discovery of torture campaigns against Sunni captives by the </w:t>
      </w:r>
      <w:proofErr w:type="spellStart"/>
      <w:r w:rsidRPr="00041AA0">
        <w:rPr>
          <w:rFonts w:ascii="Times New Roman" w:hAnsi="Times New Roman"/>
          <w:sz w:val="24"/>
          <w:szCs w:val="24"/>
        </w:rPr>
        <w:t>Badr</w:t>
      </w:r>
      <w:proofErr w:type="spellEnd"/>
      <w:r w:rsidRPr="00041AA0">
        <w:rPr>
          <w:rFonts w:ascii="Times New Roman" w:hAnsi="Times New Roman"/>
          <w:sz w:val="24"/>
          <w:szCs w:val="24"/>
        </w:rPr>
        <w:t xml:space="preserve"> Organization</w:t>
      </w:r>
      <w:r w:rsidR="009D51B8" w:rsidRPr="00041AA0">
        <w:rPr>
          <w:rFonts w:ascii="Times New Roman" w:hAnsi="Times New Roman"/>
          <w:sz w:val="24"/>
          <w:szCs w:val="24"/>
        </w:rPr>
        <w:t>,</w:t>
      </w:r>
      <w:r w:rsidRPr="00041AA0">
        <w:rPr>
          <w:rFonts w:ascii="Times New Roman" w:hAnsi="Times New Roman"/>
          <w:sz w:val="24"/>
          <w:szCs w:val="24"/>
        </w:rPr>
        <w:t xml:space="preserve"> </w:t>
      </w:r>
      <w:r w:rsidR="009D51B8" w:rsidRPr="00041AA0">
        <w:rPr>
          <w:rFonts w:ascii="Times New Roman" w:hAnsi="Times New Roman"/>
          <w:sz w:val="24"/>
          <w:szCs w:val="24"/>
        </w:rPr>
        <w:t xml:space="preserve">and discontent with the CPA and Muhasasa system </w:t>
      </w:r>
      <w:r w:rsidRPr="00041AA0">
        <w:rPr>
          <w:rFonts w:ascii="Times New Roman" w:hAnsi="Times New Roman"/>
          <w:sz w:val="24"/>
          <w:szCs w:val="24"/>
        </w:rPr>
        <w:t>spilled over into the political debate regarding textbooks.</w:t>
      </w:r>
      <w:r w:rsidR="00D62177" w:rsidRPr="00041AA0">
        <w:rPr>
          <w:rFonts w:ascii="Times New Roman" w:hAnsi="Times New Roman"/>
          <w:sz w:val="24"/>
          <w:szCs w:val="24"/>
        </w:rPr>
        <w:t xml:space="preserve"> (</w:t>
      </w:r>
      <w:proofErr w:type="spellStart"/>
      <w:r w:rsidR="00D62177" w:rsidRPr="00041AA0">
        <w:rPr>
          <w:rFonts w:ascii="Times New Roman" w:hAnsi="Times New Roman"/>
          <w:sz w:val="24"/>
          <w:szCs w:val="24"/>
        </w:rPr>
        <w:t>Zehr</w:t>
      </w:r>
      <w:proofErr w:type="spellEnd"/>
      <w:r w:rsidR="00D62177" w:rsidRPr="00041AA0">
        <w:rPr>
          <w:rFonts w:ascii="Times New Roman" w:hAnsi="Times New Roman"/>
          <w:sz w:val="24"/>
          <w:szCs w:val="24"/>
        </w:rPr>
        <w:t>)</w:t>
      </w:r>
      <w:r w:rsidRPr="00041AA0">
        <w:rPr>
          <w:rFonts w:ascii="Times New Roman" w:hAnsi="Times New Roman"/>
          <w:sz w:val="24"/>
          <w:szCs w:val="24"/>
        </w:rPr>
        <w:t xml:space="preserve"> With many militia leaders such as Muqtada al Sadr and Abdul Sattar Jabber becoming involved in the political struggle. (</w:t>
      </w:r>
      <w:r w:rsidR="00B92A50" w:rsidRPr="00041AA0">
        <w:rPr>
          <w:rFonts w:ascii="Times New Roman" w:hAnsi="Times New Roman"/>
          <w:sz w:val="24"/>
          <w:szCs w:val="24"/>
        </w:rPr>
        <w:t>Asquith</w:t>
      </w:r>
      <w:r w:rsidRPr="00041AA0">
        <w:rPr>
          <w:rFonts w:ascii="Times New Roman" w:hAnsi="Times New Roman"/>
          <w:sz w:val="24"/>
          <w:szCs w:val="24"/>
        </w:rPr>
        <w:t xml:space="preserve">) </w:t>
      </w:r>
    </w:p>
    <w:p w14:paraId="4D185A3C" w14:textId="634BE2E3" w:rsidR="00FB4291" w:rsidRPr="00041AA0" w:rsidRDefault="008E78DF">
      <w:pPr>
        <w:spacing w:line="360" w:lineRule="auto"/>
        <w:ind w:firstLine="720"/>
        <w:rPr>
          <w:rFonts w:ascii="Times New Roman" w:hAnsi="Times New Roman"/>
          <w:sz w:val="24"/>
          <w:szCs w:val="24"/>
        </w:rPr>
      </w:pPr>
      <w:r w:rsidRPr="00041AA0">
        <w:rPr>
          <w:rFonts w:ascii="Times New Roman" w:hAnsi="Times New Roman"/>
          <w:sz w:val="24"/>
          <w:szCs w:val="24"/>
        </w:rPr>
        <w:t xml:space="preserve">By spring 2004 8.7 million textbooks arrived after being edited and approved by Paul Bremer and the CPA. (Rand) Though political and religious stakeholders were included in the process the final decisions were made by the CPA. As de-Baathification led to the dismissal of over 20,000 Iraqi teachers, their re-employment was the most expedient avenue to a return to capacity. </w:t>
      </w:r>
      <w:r w:rsidR="00D62177" w:rsidRPr="00041AA0">
        <w:rPr>
          <w:rFonts w:ascii="Times New Roman" w:hAnsi="Times New Roman"/>
          <w:sz w:val="24"/>
          <w:szCs w:val="24"/>
        </w:rPr>
        <w:t xml:space="preserve">(SIGIR) </w:t>
      </w:r>
      <w:r w:rsidRPr="00041AA0">
        <w:rPr>
          <w:rFonts w:ascii="Times New Roman" w:hAnsi="Times New Roman"/>
          <w:sz w:val="24"/>
          <w:szCs w:val="24"/>
        </w:rPr>
        <w:t xml:space="preserve">As such, the CPA and Ministry of Education set about a process for the recertification of former Baath party teachers. The process often took less than two weeks and saw many teachers regain their jobs, </w:t>
      </w:r>
      <w:r w:rsidRPr="00041AA0">
        <w:rPr>
          <w:rFonts w:ascii="Times New Roman" w:hAnsi="Times New Roman"/>
          <w:sz w:val="24"/>
          <w:szCs w:val="24"/>
        </w:rPr>
        <w:lastRenderedPageBreak/>
        <w:t>at the new CPA sponsored wages of $</w:t>
      </w:r>
      <w:r w:rsidR="005B32D1" w:rsidRPr="00041AA0">
        <w:rPr>
          <w:rFonts w:ascii="Times New Roman" w:hAnsi="Times New Roman"/>
          <w:sz w:val="24"/>
          <w:szCs w:val="24"/>
        </w:rPr>
        <w:t>16</w:t>
      </w:r>
      <w:r w:rsidRPr="00041AA0">
        <w:rPr>
          <w:rFonts w:ascii="Times New Roman" w:hAnsi="Times New Roman"/>
          <w:sz w:val="24"/>
          <w:szCs w:val="24"/>
        </w:rPr>
        <w:t xml:space="preserve">0 per </w:t>
      </w:r>
      <w:r w:rsidR="005B32D1" w:rsidRPr="00041AA0">
        <w:rPr>
          <w:rFonts w:ascii="Times New Roman" w:hAnsi="Times New Roman"/>
          <w:sz w:val="24"/>
          <w:szCs w:val="24"/>
        </w:rPr>
        <w:t>month</w:t>
      </w:r>
      <w:r w:rsidRPr="00041AA0">
        <w:rPr>
          <w:rFonts w:ascii="Times New Roman" w:hAnsi="Times New Roman"/>
          <w:sz w:val="24"/>
          <w:szCs w:val="24"/>
        </w:rPr>
        <w:t xml:space="preserve">. (Rand) With the majority of the teachers removed </w:t>
      </w:r>
      <w:r w:rsidR="005B32D1" w:rsidRPr="00041AA0">
        <w:rPr>
          <w:rFonts w:ascii="Times New Roman" w:hAnsi="Times New Roman"/>
          <w:sz w:val="24"/>
          <w:szCs w:val="24"/>
        </w:rPr>
        <w:t>during</w:t>
      </w:r>
      <w:r w:rsidRPr="00041AA0">
        <w:rPr>
          <w:rFonts w:ascii="Times New Roman" w:hAnsi="Times New Roman"/>
          <w:sz w:val="24"/>
          <w:szCs w:val="24"/>
        </w:rPr>
        <w:t xml:space="preserve"> de-Baathification reinstated</w:t>
      </w:r>
      <w:r w:rsidR="005B32D1" w:rsidRPr="00041AA0">
        <w:rPr>
          <w:rFonts w:ascii="Times New Roman" w:hAnsi="Times New Roman"/>
          <w:sz w:val="24"/>
          <w:szCs w:val="24"/>
        </w:rPr>
        <w:t>,</w:t>
      </w:r>
      <w:r w:rsidRPr="00041AA0">
        <w:rPr>
          <w:rFonts w:ascii="Times New Roman" w:hAnsi="Times New Roman"/>
          <w:sz w:val="24"/>
          <w:szCs w:val="24"/>
        </w:rPr>
        <w:t xml:space="preserve"> the deficit of teachers was nearly eliminated. However, the reintroduction of the Baath party members saw a continuation of the Saddam era propaganda, with large numbers of complaints stemming from southern provinces. (Rand) The CPA faced the difficulty of needing to rapidly restaff the education sector while simultaneously de-politicizing its staff. The hasty reintroduction of Baath party members immediately politicized Iraq’s education, with CPA approved textbooks infuriating a broad spectrum of the population. The rapid reintroduction of Baathist teachers caused many Shia in Iraq to see the de-Baathification process and National Reconciliation Campaign as simply reintegrating Baathists and rebuilding a system of Shia suppression.</w:t>
      </w:r>
    </w:p>
    <w:p w14:paraId="048359B3" w14:textId="6F99CE72" w:rsidR="00041AA0" w:rsidRPr="00041AA0" w:rsidRDefault="008E78DF" w:rsidP="00041AA0">
      <w:pPr>
        <w:spacing w:line="360" w:lineRule="auto"/>
        <w:ind w:firstLine="720"/>
        <w:rPr>
          <w:rFonts w:ascii="Times New Roman" w:hAnsi="Times New Roman"/>
          <w:sz w:val="24"/>
          <w:szCs w:val="24"/>
        </w:rPr>
      </w:pPr>
      <w:r w:rsidRPr="00041AA0">
        <w:rPr>
          <w:rFonts w:ascii="Times New Roman" w:hAnsi="Times New Roman"/>
          <w:sz w:val="24"/>
          <w:szCs w:val="24"/>
        </w:rPr>
        <w:t>The CPA’s effort to restructure Iraq’s education system was undermined by flawed estimates of existing capacity, an ambivalence towards looting, sectarian tensions, a deteriorating security environment, and an inconsistent approach to de-Baathification. Internal Iraqi statistics understated the funding and capacity gap present during the UNESCO and OFFP era, as the nation’s economy was devasted by foreign sanctions. Further degradation occurred rapidly during the looting of the short month-long coalition offensive and persisted due to the prioritization of other key sectors by the CPA, mainly oil and electricity. Sectarian tensions turned into outright conflict as the CPA failed to properly moderate the concerns of the Sunni’s, Shia’s, and Kurds; as exemplified by the political struggle over textbooks and curriculum.</w:t>
      </w:r>
      <w:r w:rsidR="00D62177" w:rsidRPr="00041AA0">
        <w:rPr>
          <w:rFonts w:ascii="Times New Roman" w:hAnsi="Times New Roman"/>
          <w:sz w:val="24"/>
          <w:szCs w:val="24"/>
        </w:rPr>
        <w:t xml:space="preserve"> </w:t>
      </w:r>
      <w:r w:rsidRPr="00041AA0">
        <w:rPr>
          <w:rFonts w:ascii="Times New Roman" w:hAnsi="Times New Roman"/>
          <w:sz w:val="24"/>
          <w:szCs w:val="24"/>
        </w:rPr>
        <w:t xml:space="preserve"> Rebuilding Iraq’s education system was a necessary development objective if Iraq was to truly become a stable democracy. Iraq’s history as a pillar of education in the middle east heightened the prospect for strong Ministry of Education which could be repurposed to meet the nations new democratic needs. However, the more recent history of repression, economic distress, theft, and internal conflict engulfed the process despite large levels of foreign investment. Despite the CPA’s successes in delivering supplies, rehabilitating schools, and rehiring teachers, the damages of recent decades, both economic and political, proved insurmountable. In a race for both the development of Iraq and a return to security and self-sufficiency, decisions such as the rehiring of Baath party teachers and the outsourcing of curriculum and textbooks were made in an effort to provide stability. This attempt at stability instead fueled the forthcoming sectarian violence beginning in the summer of 2004. Working in a fragile environment the CPA’s need for rapid stability led to executive decisions which would have long term consequences for Iraq</w:t>
      </w:r>
      <w:r w:rsidR="00041AA0">
        <w:rPr>
          <w:rFonts w:ascii="Times New Roman" w:hAnsi="Times New Roman"/>
          <w:sz w:val="24"/>
          <w:szCs w:val="24"/>
        </w:rPr>
        <w:t>.</w:t>
      </w:r>
    </w:p>
    <w:p w14:paraId="5766F135" w14:textId="77777777" w:rsidR="00FB4291" w:rsidRPr="00041AA0" w:rsidRDefault="008E78DF">
      <w:pPr>
        <w:jc w:val="center"/>
        <w:rPr>
          <w:rFonts w:ascii="Times New Roman" w:hAnsi="Times New Roman"/>
          <w:b/>
          <w:bCs/>
          <w:sz w:val="24"/>
          <w:szCs w:val="24"/>
          <w:u w:val="single"/>
        </w:rPr>
      </w:pPr>
      <w:r w:rsidRPr="00041AA0">
        <w:rPr>
          <w:rFonts w:ascii="Times New Roman" w:hAnsi="Times New Roman"/>
          <w:b/>
          <w:bCs/>
          <w:sz w:val="24"/>
          <w:szCs w:val="24"/>
          <w:u w:val="single"/>
        </w:rPr>
        <w:lastRenderedPageBreak/>
        <w:t>Appendix</w:t>
      </w:r>
    </w:p>
    <w:p w14:paraId="23405A1E" w14:textId="77777777" w:rsidR="00FB4291" w:rsidRPr="00041AA0" w:rsidRDefault="008E78DF">
      <w:pPr>
        <w:rPr>
          <w:rFonts w:ascii="Times New Roman" w:hAnsi="Times New Roman"/>
          <w:b/>
          <w:bCs/>
          <w:sz w:val="24"/>
          <w:szCs w:val="24"/>
        </w:rPr>
      </w:pPr>
      <w:r w:rsidRPr="00041AA0">
        <w:rPr>
          <w:rFonts w:ascii="Times New Roman" w:hAnsi="Times New Roman"/>
          <w:b/>
          <w:bCs/>
          <w:sz w:val="24"/>
          <w:szCs w:val="24"/>
        </w:rPr>
        <w:t xml:space="preserve">Figure 1 </w:t>
      </w:r>
      <w:r w:rsidRPr="00041AA0">
        <w:rPr>
          <w:rFonts w:ascii="Times New Roman" w:hAnsi="Times New Roman"/>
          <w:sz w:val="24"/>
          <w:szCs w:val="24"/>
        </w:rPr>
        <w:t>(WB1)</w:t>
      </w:r>
    </w:p>
    <w:p w14:paraId="76CDFEE5" w14:textId="77777777" w:rsidR="00FB4291" w:rsidRPr="00041AA0" w:rsidRDefault="008E78DF">
      <w:pPr>
        <w:rPr>
          <w:sz w:val="24"/>
          <w:szCs w:val="24"/>
        </w:rPr>
      </w:pPr>
      <w:r w:rsidRPr="00041AA0">
        <w:rPr>
          <w:noProof/>
          <w:sz w:val="24"/>
          <w:szCs w:val="24"/>
        </w:rPr>
        <w:drawing>
          <wp:inline distT="0" distB="0" distL="0" distR="0" wp14:anchorId="5833F9EA" wp14:editId="5D077979">
            <wp:extent cx="6225536" cy="3436616"/>
            <wp:effectExtent l="0" t="0" r="0" b="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57B89AC4" w14:textId="77777777" w:rsidR="00FB4291" w:rsidRPr="00041AA0" w:rsidRDefault="00FB4291">
      <w:pPr>
        <w:rPr>
          <w:rFonts w:ascii="Times New Roman" w:hAnsi="Times New Roman"/>
          <w:sz w:val="24"/>
          <w:szCs w:val="24"/>
        </w:rPr>
      </w:pPr>
    </w:p>
    <w:p w14:paraId="6016298B" w14:textId="1A0BAA10" w:rsidR="00FB4291" w:rsidRPr="00041AA0" w:rsidRDefault="008E78DF">
      <w:pPr>
        <w:rPr>
          <w:rFonts w:ascii="Times New Roman" w:hAnsi="Times New Roman"/>
          <w:sz w:val="24"/>
          <w:szCs w:val="24"/>
        </w:rPr>
      </w:pPr>
      <w:r w:rsidRPr="00041AA0">
        <w:rPr>
          <w:rFonts w:ascii="Times New Roman" w:hAnsi="Times New Roman"/>
          <w:b/>
          <w:bCs/>
          <w:sz w:val="24"/>
          <w:szCs w:val="24"/>
        </w:rPr>
        <w:t xml:space="preserve">Figure 2 </w:t>
      </w:r>
      <w:r w:rsidRPr="00041AA0">
        <w:rPr>
          <w:rFonts w:ascii="Times New Roman" w:hAnsi="Times New Roman"/>
          <w:sz w:val="24"/>
          <w:szCs w:val="24"/>
        </w:rPr>
        <w:t>(Rand) (</w:t>
      </w:r>
      <w:r w:rsidR="00B92A50" w:rsidRPr="00041AA0">
        <w:rPr>
          <w:rFonts w:ascii="Times New Roman" w:hAnsi="Times New Roman"/>
          <w:sz w:val="24"/>
          <w:szCs w:val="24"/>
        </w:rPr>
        <w:t>SIGIR</w:t>
      </w:r>
      <w:r w:rsidRPr="00041AA0">
        <w:rPr>
          <w:rFonts w:ascii="Times New Roman" w:hAnsi="Times New Roman"/>
          <w:sz w:val="24"/>
          <w:szCs w:val="24"/>
        </w:rPr>
        <w:t>) (UNESCO)</w:t>
      </w:r>
    </w:p>
    <w:p w14:paraId="4D449941" w14:textId="77777777" w:rsidR="00FB4291" w:rsidRPr="00041AA0" w:rsidRDefault="008E78DF">
      <w:pPr>
        <w:rPr>
          <w:rFonts w:ascii="Times New Roman" w:hAnsi="Times New Roman"/>
          <w:sz w:val="24"/>
          <w:szCs w:val="24"/>
        </w:rPr>
      </w:pPr>
      <w:r w:rsidRPr="00041AA0">
        <w:rPr>
          <w:rFonts w:ascii="Times New Roman" w:hAnsi="Times New Roman"/>
          <w:sz w:val="24"/>
          <w:szCs w:val="24"/>
        </w:rPr>
        <w:t>Iraqi Reconstruction Statistics (2004)</w:t>
      </w:r>
    </w:p>
    <w:tbl>
      <w:tblPr>
        <w:tblW w:w="9863" w:type="dxa"/>
        <w:tblCellMar>
          <w:left w:w="10" w:type="dxa"/>
          <w:right w:w="10" w:type="dxa"/>
        </w:tblCellMar>
        <w:tblLook w:val="0000" w:firstRow="0" w:lastRow="0" w:firstColumn="0" w:lastColumn="0" w:noHBand="0" w:noVBand="0"/>
      </w:tblPr>
      <w:tblGrid>
        <w:gridCol w:w="6565"/>
        <w:gridCol w:w="3298"/>
      </w:tblGrid>
      <w:tr w:rsidR="00FB4291" w:rsidRPr="00041AA0" w14:paraId="680E0C4C" w14:textId="77777777">
        <w:trPr>
          <w:trHeight w:val="600"/>
        </w:trPr>
        <w:tc>
          <w:tcPr>
            <w:tcW w:w="65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BB831B2" w14:textId="77777777" w:rsidR="00FB4291" w:rsidRPr="00041AA0" w:rsidRDefault="008E78DF">
            <w:pPr>
              <w:spacing w:after="0" w:line="240" w:lineRule="auto"/>
              <w:rPr>
                <w:rFonts w:ascii="Times New Roman" w:hAnsi="Times New Roman"/>
                <w:sz w:val="24"/>
                <w:szCs w:val="24"/>
              </w:rPr>
            </w:pPr>
            <w:r w:rsidRPr="00041AA0">
              <w:rPr>
                <w:rFonts w:ascii="Times New Roman" w:hAnsi="Times New Roman"/>
                <w:sz w:val="24"/>
                <w:szCs w:val="24"/>
              </w:rPr>
              <w:t>Total School Deficit</w:t>
            </w:r>
          </w:p>
        </w:tc>
        <w:tc>
          <w:tcPr>
            <w:tcW w:w="32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45766C2" w14:textId="77777777" w:rsidR="00FB4291" w:rsidRPr="00041AA0" w:rsidRDefault="008E78DF">
            <w:pPr>
              <w:spacing w:after="0" w:line="240" w:lineRule="auto"/>
              <w:rPr>
                <w:rFonts w:ascii="Times New Roman" w:hAnsi="Times New Roman"/>
                <w:sz w:val="24"/>
                <w:szCs w:val="24"/>
              </w:rPr>
            </w:pPr>
            <w:r w:rsidRPr="00041AA0">
              <w:rPr>
                <w:rFonts w:ascii="Times New Roman" w:hAnsi="Times New Roman"/>
                <w:sz w:val="24"/>
                <w:szCs w:val="24"/>
              </w:rPr>
              <w:t>9,000</w:t>
            </w:r>
          </w:p>
        </w:tc>
      </w:tr>
      <w:tr w:rsidR="00FB4291" w:rsidRPr="00041AA0" w14:paraId="7E5097EB" w14:textId="77777777">
        <w:trPr>
          <w:trHeight w:val="600"/>
        </w:trPr>
        <w:tc>
          <w:tcPr>
            <w:tcW w:w="65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DFAA80E" w14:textId="77777777" w:rsidR="00FB4291" w:rsidRPr="00041AA0" w:rsidRDefault="008E78DF">
            <w:pPr>
              <w:spacing w:after="0" w:line="240" w:lineRule="auto"/>
              <w:rPr>
                <w:rFonts w:ascii="Times New Roman" w:hAnsi="Times New Roman"/>
                <w:sz w:val="24"/>
                <w:szCs w:val="24"/>
              </w:rPr>
            </w:pPr>
            <w:r w:rsidRPr="00041AA0">
              <w:rPr>
                <w:rFonts w:ascii="Times New Roman" w:hAnsi="Times New Roman"/>
                <w:sz w:val="24"/>
                <w:szCs w:val="24"/>
              </w:rPr>
              <w:t>Deficit of School Kits</w:t>
            </w:r>
          </w:p>
        </w:tc>
        <w:tc>
          <w:tcPr>
            <w:tcW w:w="32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40E293C" w14:textId="77777777" w:rsidR="00FB4291" w:rsidRPr="00041AA0" w:rsidRDefault="008E78DF">
            <w:pPr>
              <w:spacing w:after="0" w:line="240" w:lineRule="auto"/>
              <w:rPr>
                <w:rFonts w:ascii="Times New Roman" w:hAnsi="Times New Roman"/>
                <w:sz w:val="24"/>
                <w:szCs w:val="24"/>
              </w:rPr>
            </w:pPr>
            <w:r w:rsidRPr="00041AA0">
              <w:rPr>
                <w:rFonts w:ascii="Times New Roman" w:hAnsi="Times New Roman"/>
                <w:sz w:val="24"/>
                <w:szCs w:val="24"/>
              </w:rPr>
              <w:t>6,600,000</w:t>
            </w:r>
          </w:p>
        </w:tc>
      </w:tr>
      <w:tr w:rsidR="00FB4291" w:rsidRPr="00041AA0" w14:paraId="2F67BF81" w14:textId="77777777">
        <w:trPr>
          <w:trHeight w:val="573"/>
        </w:trPr>
        <w:tc>
          <w:tcPr>
            <w:tcW w:w="65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4E10A41" w14:textId="77777777" w:rsidR="00FB4291" w:rsidRPr="00041AA0" w:rsidRDefault="008E78DF">
            <w:pPr>
              <w:spacing w:after="0" w:line="240" w:lineRule="auto"/>
              <w:rPr>
                <w:rFonts w:ascii="Times New Roman" w:hAnsi="Times New Roman"/>
                <w:sz w:val="24"/>
                <w:szCs w:val="24"/>
              </w:rPr>
            </w:pPr>
            <w:r w:rsidRPr="00041AA0">
              <w:rPr>
                <w:rFonts w:ascii="Times New Roman" w:hAnsi="Times New Roman"/>
                <w:sz w:val="24"/>
                <w:szCs w:val="24"/>
              </w:rPr>
              <w:t>Textbook Deficit</w:t>
            </w:r>
          </w:p>
        </w:tc>
        <w:tc>
          <w:tcPr>
            <w:tcW w:w="32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53516D" w14:textId="77777777" w:rsidR="00FB4291" w:rsidRPr="00041AA0" w:rsidRDefault="008E78DF">
            <w:pPr>
              <w:spacing w:after="0" w:line="240" w:lineRule="auto"/>
              <w:rPr>
                <w:rFonts w:ascii="Times New Roman" w:hAnsi="Times New Roman"/>
                <w:sz w:val="24"/>
                <w:szCs w:val="24"/>
              </w:rPr>
            </w:pPr>
            <w:r w:rsidRPr="00041AA0">
              <w:rPr>
                <w:rFonts w:ascii="Times New Roman" w:hAnsi="Times New Roman"/>
                <w:sz w:val="24"/>
                <w:szCs w:val="24"/>
              </w:rPr>
              <w:t>8,700,000</w:t>
            </w:r>
          </w:p>
        </w:tc>
      </w:tr>
      <w:tr w:rsidR="00FB4291" w:rsidRPr="00041AA0" w14:paraId="5B83D292" w14:textId="77777777">
        <w:trPr>
          <w:trHeight w:val="600"/>
        </w:trPr>
        <w:tc>
          <w:tcPr>
            <w:tcW w:w="65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2A89E9" w14:textId="77777777" w:rsidR="00FB4291" w:rsidRPr="00041AA0" w:rsidRDefault="008E78DF">
            <w:pPr>
              <w:spacing w:after="0" w:line="240" w:lineRule="auto"/>
              <w:rPr>
                <w:rFonts w:ascii="Times New Roman" w:hAnsi="Times New Roman"/>
                <w:sz w:val="24"/>
                <w:szCs w:val="24"/>
              </w:rPr>
            </w:pPr>
            <w:r w:rsidRPr="00041AA0">
              <w:rPr>
                <w:rFonts w:ascii="Times New Roman" w:hAnsi="Times New Roman"/>
                <w:sz w:val="24"/>
                <w:szCs w:val="24"/>
              </w:rPr>
              <w:t>School Age Children (6-18)</w:t>
            </w:r>
          </w:p>
        </w:tc>
        <w:tc>
          <w:tcPr>
            <w:tcW w:w="32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CF98584" w14:textId="77777777" w:rsidR="00FB4291" w:rsidRPr="00041AA0" w:rsidRDefault="008E78DF">
            <w:pPr>
              <w:spacing w:after="0" w:line="240" w:lineRule="auto"/>
              <w:rPr>
                <w:rFonts w:ascii="Times New Roman" w:hAnsi="Times New Roman"/>
                <w:sz w:val="24"/>
                <w:szCs w:val="24"/>
              </w:rPr>
            </w:pPr>
            <w:r w:rsidRPr="00041AA0">
              <w:rPr>
                <w:rFonts w:ascii="Times New Roman" w:hAnsi="Times New Roman"/>
                <w:sz w:val="24"/>
                <w:szCs w:val="24"/>
              </w:rPr>
              <w:t>17,800,000</w:t>
            </w:r>
          </w:p>
        </w:tc>
      </w:tr>
      <w:tr w:rsidR="00FB4291" w:rsidRPr="00041AA0" w14:paraId="4C91DA73" w14:textId="77777777">
        <w:trPr>
          <w:trHeight w:val="600"/>
        </w:trPr>
        <w:tc>
          <w:tcPr>
            <w:tcW w:w="65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321F07" w14:textId="77777777" w:rsidR="00FB4291" w:rsidRPr="00041AA0" w:rsidRDefault="008E78DF">
            <w:pPr>
              <w:spacing w:after="0" w:line="240" w:lineRule="auto"/>
              <w:rPr>
                <w:rFonts w:ascii="Times New Roman" w:hAnsi="Times New Roman"/>
                <w:sz w:val="24"/>
                <w:szCs w:val="24"/>
              </w:rPr>
            </w:pPr>
            <w:r w:rsidRPr="00041AA0">
              <w:rPr>
                <w:rFonts w:ascii="Times New Roman" w:hAnsi="Times New Roman"/>
                <w:sz w:val="24"/>
                <w:szCs w:val="24"/>
              </w:rPr>
              <w:t xml:space="preserve">Total Spent on Education by </w:t>
            </w:r>
            <w:proofErr w:type="gramStart"/>
            <w:r w:rsidRPr="00041AA0">
              <w:rPr>
                <w:rFonts w:ascii="Times New Roman" w:hAnsi="Times New Roman"/>
                <w:sz w:val="24"/>
                <w:szCs w:val="24"/>
              </w:rPr>
              <w:t>CPA  (</w:t>
            </w:r>
            <w:proofErr w:type="gramEnd"/>
            <w:r w:rsidRPr="00041AA0">
              <w:rPr>
                <w:rFonts w:ascii="Times New Roman" w:hAnsi="Times New Roman"/>
                <w:sz w:val="24"/>
                <w:szCs w:val="24"/>
              </w:rPr>
              <w:t>USD)</w:t>
            </w:r>
          </w:p>
        </w:tc>
        <w:tc>
          <w:tcPr>
            <w:tcW w:w="32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CDD3046" w14:textId="77777777" w:rsidR="00FB4291" w:rsidRPr="00041AA0" w:rsidRDefault="008E78DF">
            <w:pPr>
              <w:spacing w:after="0" w:line="240" w:lineRule="auto"/>
              <w:rPr>
                <w:rFonts w:ascii="Times New Roman" w:hAnsi="Times New Roman"/>
                <w:sz w:val="24"/>
                <w:szCs w:val="24"/>
              </w:rPr>
            </w:pPr>
            <w:r w:rsidRPr="00041AA0">
              <w:rPr>
                <w:rFonts w:ascii="Times New Roman" w:hAnsi="Times New Roman"/>
                <w:sz w:val="24"/>
                <w:szCs w:val="24"/>
              </w:rPr>
              <w:t xml:space="preserve">738,000,000 </w:t>
            </w:r>
          </w:p>
        </w:tc>
      </w:tr>
      <w:tr w:rsidR="00FB4291" w:rsidRPr="00041AA0" w14:paraId="6D29A5BF" w14:textId="77777777">
        <w:trPr>
          <w:trHeight w:val="600"/>
        </w:trPr>
        <w:tc>
          <w:tcPr>
            <w:tcW w:w="65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27652B5" w14:textId="77777777" w:rsidR="00FB4291" w:rsidRPr="00041AA0" w:rsidRDefault="008E78DF">
            <w:pPr>
              <w:spacing w:after="0" w:line="240" w:lineRule="auto"/>
              <w:rPr>
                <w:rFonts w:ascii="Times New Roman" w:hAnsi="Times New Roman"/>
                <w:sz w:val="24"/>
                <w:szCs w:val="24"/>
              </w:rPr>
            </w:pPr>
            <w:r w:rsidRPr="00041AA0">
              <w:rPr>
                <w:rFonts w:ascii="Times New Roman" w:hAnsi="Times New Roman"/>
                <w:sz w:val="24"/>
                <w:szCs w:val="24"/>
              </w:rPr>
              <w:t>CPA Estimate of Education Funding Deficit (USD)</w:t>
            </w:r>
          </w:p>
        </w:tc>
        <w:tc>
          <w:tcPr>
            <w:tcW w:w="32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04FB6EE" w14:textId="77777777" w:rsidR="00FB4291" w:rsidRPr="00041AA0" w:rsidRDefault="008E78DF">
            <w:pPr>
              <w:spacing w:after="0" w:line="240" w:lineRule="auto"/>
              <w:rPr>
                <w:rFonts w:ascii="Times New Roman" w:hAnsi="Times New Roman"/>
                <w:sz w:val="24"/>
                <w:szCs w:val="24"/>
              </w:rPr>
            </w:pPr>
            <w:r w:rsidRPr="00041AA0">
              <w:rPr>
                <w:rFonts w:ascii="Times New Roman" w:hAnsi="Times New Roman"/>
                <w:sz w:val="24"/>
                <w:szCs w:val="24"/>
              </w:rPr>
              <w:t>4,800,000,000</w:t>
            </w:r>
          </w:p>
        </w:tc>
      </w:tr>
      <w:tr w:rsidR="00FB4291" w:rsidRPr="00041AA0" w14:paraId="77F6F881" w14:textId="77777777">
        <w:trPr>
          <w:trHeight w:val="600"/>
        </w:trPr>
        <w:tc>
          <w:tcPr>
            <w:tcW w:w="65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1C86FB1" w14:textId="77777777" w:rsidR="00FB4291" w:rsidRPr="00041AA0" w:rsidRDefault="008E78DF">
            <w:pPr>
              <w:spacing w:after="0" w:line="240" w:lineRule="auto"/>
              <w:rPr>
                <w:rFonts w:ascii="Times New Roman" w:hAnsi="Times New Roman"/>
                <w:sz w:val="24"/>
                <w:szCs w:val="24"/>
              </w:rPr>
            </w:pPr>
            <w:r w:rsidRPr="00041AA0">
              <w:rPr>
                <w:rFonts w:ascii="Times New Roman" w:hAnsi="Times New Roman"/>
                <w:sz w:val="24"/>
                <w:szCs w:val="24"/>
              </w:rPr>
              <w:t xml:space="preserve">Percent of Total Reconstruction Spent on Education </w:t>
            </w:r>
          </w:p>
        </w:tc>
        <w:tc>
          <w:tcPr>
            <w:tcW w:w="32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171DB4D" w14:textId="77777777" w:rsidR="00FB4291" w:rsidRPr="00041AA0" w:rsidRDefault="008E78DF">
            <w:pPr>
              <w:spacing w:after="0" w:line="240" w:lineRule="auto"/>
              <w:rPr>
                <w:rFonts w:ascii="Times New Roman" w:hAnsi="Times New Roman"/>
                <w:sz w:val="24"/>
                <w:szCs w:val="24"/>
              </w:rPr>
            </w:pPr>
            <w:r w:rsidRPr="00041AA0">
              <w:rPr>
                <w:rFonts w:ascii="Times New Roman" w:hAnsi="Times New Roman"/>
                <w:sz w:val="24"/>
                <w:szCs w:val="24"/>
              </w:rPr>
              <w:t>% 15.37</w:t>
            </w:r>
          </w:p>
        </w:tc>
      </w:tr>
    </w:tbl>
    <w:p w14:paraId="58A85D68" w14:textId="77777777" w:rsidR="00FB4291" w:rsidRPr="00041AA0" w:rsidRDefault="00FB4291">
      <w:pPr>
        <w:rPr>
          <w:rFonts w:ascii="Times New Roman" w:hAnsi="Times New Roman"/>
          <w:sz w:val="24"/>
          <w:szCs w:val="24"/>
        </w:rPr>
      </w:pPr>
    </w:p>
    <w:p w14:paraId="4E143207" w14:textId="77777777" w:rsidR="00FB4291" w:rsidRPr="00041AA0" w:rsidRDefault="00FB4291">
      <w:pPr>
        <w:rPr>
          <w:rFonts w:ascii="Times New Roman" w:hAnsi="Times New Roman"/>
          <w:sz w:val="24"/>
          <w:szCs w:val="24"/>
        </w:rPr>
      </w:pPr>
    </w:p>
    <w:p w14:paraId="77D008D0" w14:textId="3BE850D3" w:rsidR="00FB4291" w:rsidRPr="00041AA0" w:rsidRDefault="008E78DF">
      <w:pPr>
        <w:rPr>
          <w:rFonts w:ascii="Times New Roman" w:hAnsi="Times New Roman"/>
          <w:sz w:val="24"/>
          <w:szCs w:val="24"/>
        </w:rPr>
      </w:pPr>
      <w:r w:rsidRPr="00041AA0">
        <w:rPr>
          <w:rFonts w:ascii="Times New Roman" w:hAnsi="Times New Roman"/>
          <w:b/>
          <w:bCs/>
          <w:sz w:val="24"/>
          <w:szCs w:val="24"/>
        </w:rPr>
        <w:lastRenderedPageBreak/>
        <w:t>Figure 3</w:t>
      </w:r>
      <w:r w:rsidR="00D62177" w:rsidRPr="00041AA0">
        <w:rPr>
          <w:rFonts w:ascii="Times New Roman" w:hAnsi="Times New Roman"/>
          <w:sz w:val="24"/>
          <w:szCs w:val="24"/>
        </w:rPr>
        <w:t xml:space="preserve"> (Shafiq) (SIGUR) (RAND)</w:t>
      </w:r>
    </w:p>
    <w:p w14:paraId="02EEFE57" w14:textId="77777777" w:rsidR="00FB4291" w:rsidRPr="00041AA0" w:rsidRDefault="008E78DF">
      <w:pPr>
        <w:rPr>
          <w:sz w:val="24"/>
          <w:szCs w:val="24"/>
        </w:rPr>
      </w:pPr>
      <w:r w:rsidRPr="00041AA0">
        <w:rPr>
          <w:noProof/>
          <w:sz w:val="24"/>
          <w:szCs w:val="24"/>
        </w:rPr>
        <w:drawing>
          <wp:inline distT="0" distB="0" distL="0" distR="0" wp14:anchorId="02CBED47" wp14:editId="645A79DC">
            <wp:extent cx="6187443" cy="2819396"/>
            <wp:effectExtent l="0" t="0" r="0" b="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259FFCF0" w14:textId="77777777" w:rsidR="00FB4291" w:rsidRPr="00041AA0" w:rsidRDefault="00FB4291">
      <w:pPr>
        <w:rPr>
          <w:rFonts w:ascii="Times New Roman" w:hAnsi="Times New Roman"/>
          <w:sz w:val="24"/>
          <w:szCs w:val="24"/>
        </w:rPr>
      </w:pPr>
    </w:p>
    <w:p w14:paraId="05B758E9" w14:textId="77777777" w:rsidR="00FB4291" w:rsidRPr="00041AA0" w:rsidRDefault="00FB4291">
      <w:pPr>
        <w:rPr>
          <w:rFonts w:ascii="Times New Roman" w:hAnsi="Times New Roman"/>
          <w:sz w:val="24"/>
          <w:szCs w:val="24"/>
        </w:rPr>
      </w:pPr>
    </w:p>
    <w:p w14:paraId="65DAA554" w14:textId="77777777" w:rsidR="00FB4291" w:rsidRPr="00041AA0" w:rsidRDefault="00FB4291">
      <w:pPr>
        <w:rPr>
          <w:rFonts w:ascii="Times New Roman" w:hAnsi="Times New Roman"/>
          <w:sz w:val="24"/>
          <w:szCs w:val="24"/>
        </w:rPr>
      </w:pPr>
    </w:p>
    <w:p w14:paraId="10057AAF" w14:textId="77777777" w:rsidR="00FB4291" w:rsidRPr="00041AA0" w:rsidRDefault="00FB4291">
      <w:pPr>
        <w:rPr>
          <w:rFonts w:ascii="Times New Roman" w:hAnsi="Times New Roman"/>
          <w:sz w:val="24"/>
          <w:szCs w:val="24"/>
        </w:rPr>
      </w:pPr>
    </w:p>
    <w:p w14:paraId="3D404605" w14:textId="77777777" w:rsidR="00FB4291" w:rsidRPr="00041AA0" w:rsidRDefault="00FB4291">
      <w:pPr>
        <w:rPr>
          <w:rFonts w:ascii="Times New Roman" w:hAnsi="Times New Roman"/>
          <w:sz w:val="24"/>
          <w:szCs w:val="24"/>
        </w:rPr>
      </w:pPr>
    </w:p>
    <w:p w14:paraId="65CAFB5D" w14:textId="77777777" w:rsidR="00FB4291" w:rsidRPr="00041AA0" w:rsidRDefault="00FB4291">
      <w:pPr>
        <w:rPr>
          <w:rFonts w:ascii="Times New Roman" w:hAnsi="Times New Roman"/>
          <w:sz w:val="24"/>
          <w:szCs w:val="24"/>
        </w:rPr>
      </w:pPr>
    </w:p>
    <w:p w14:paraId="371A1EEA" w14:textId="77777777" w:rsidR="00FB4291" w:rsidRPr="00041AA0" w:rsidRDefault="00FB4291">
      <w:pPr>
        <w:rPr>
          <w:rFonts w:ascii="Times New Roman" w:hAnsi="Times New Roman"/>
          <w:sz w:val="24"/>
          <w:szCs w:val="24"/>
        </w:rPr>
      </w:pPr>
    </w:p>
    <w:p w14:paraId="0020C1B7" w14:textId="77777777" w:rsidR="00FB4291" w:rsidRPr="00041AA0" w:rsidRDefault="00FB4291">
      <w:pPr>
        <w:rPr>
          <w:rFonts w:ascii="Times New Roman" w:hAnsi="Times New Roman"/>
          <w:sz w:val="24"/>
          <w:szCs w:val="24"/>
        </w:rPr>
      </w:pPr>
    </w:p>
    <w:p w14:paraId="03B440A2" w14:textId="77777777" w:rsidR="00FB4291" w:rsidRPr="00041AA0" w:rsidRDefault="00FB4291">
      <w:pPr>
        <w:rPr>
          <w:rFonts w:ascii="Times New Roman" w:hAnsi="Times New Roman"/>
          <w:sz w:val="24"/>
          <w:szCs w:val="24"/>
        </w:rPr>
      </w:pPr>
    </w:p>
    <w:p w14:paraId="35202E57" w14:textId="77777777" w:rsidR="00FB4291" w:rsidRPr="00041AA0" w:rsidRDefault="00FB4291">
      <w:pPr>
        <w:rPr>
          <w:rFonts w:ascii="Times New Roman" w:hAnsi="Times New Roman"/>
          <w:sz w:val="24"/>
          <w:szCs w:val="24"/>
        </w:rPr>
      </w:pPr>
    </w:p>
    <w:p w14:paraId="2E9E9D41" w14:textId="77777777" w:rsidR="00FB4291" w:rsidRPr="00041AA0" w:rsidRDefault="00FB4291">
      <w:pPr>
        <w:rPr>
          <w:rFonts w:ascii="Times New Roman" w:hAnsi="Times New Roman"/>
          <w:sz w:val="24"/>
          <w:szCs w:val="24"/>
        </w:rPr>
      </w:pPr>
    </w:p>
    <w:p w14:paraId="16038B83" w14:textId="77777777" w:rsidR="00FB4291" w:rsidRPr="00041AA0" w:rsidRDefault="00FB4291">
      <w:pPr>
        <w:rPr>
          <w:rFonts w:ascii="Times New Roman" w:hAnsi="Times New Roman"/>
          <w:sz w:val="24"/>
          <w:szCs w:val="24"/>
        </w:rPr>
      </w:pPr>
    </w:p>
    <w:p w14:paraId="210BE7F6" w14:textId="77777777" w:rsidR="00FB4291" w:rsidRPr="00041AA0" w:rsidRDefault="00FB4291">
      <w:pPr>
        <w:rPr>
          <w:rFonts w:ascii="Times New Roman" w:hAnsi="Times New Roman"/>
          <w:sz w:val="24"/>
          <w:szCs w:val="24"/>
        </w:rPr>
      </w:pPr>
    </w:p>
    <w:p w14:paraId="60CE8F83" w14:textId="77777777" w:rsidR="00FB4291" w:rsidRPr="00041AA0" w:rsidRDefault="00FB4291">
      <w:pPr>
        <w:rPr>
          <w:rFonts w:ascii="Times New Roman" w:hAnsi="Times New Roman"/>
          <w:sz w:val="24"/>
          <w:szCs w:val="24"/>
        </w:rPr>
      </w:pPr>
    </w:p>
    <w:p w14:paraId="6F646D31" w14:textId="77777777" w:rsidR="00FB4291" w:rsidRPr="00041AA0" w:rsidRDefault="00FB4291">
      <w:pPr>
        <w:rPr>
          <w:rFonts w:ascii="Times New Roman" w:hAnsi="Times New Roman"/>
          <w:sz w:val="24"/>
          <w:szCs w:val="24"/>
        </w:rPr>
      </w:pPr>
    </w:p>
    <w:p w14:paraId="7ABDD5CD" w14:textId="77777777" w:rsidR="00FB4291" w:rsidRPr="00041AA0" w:rsidRDefault="00FB4291">
      <w:pPr>
        <w:rPr>
          <w:rFonts w:ascii="Times New Roman" w:hAnsi="Times New Roman"/>
          <w:sz w:val="24"/>
          <w:szCs w:val="24"/>
        </w:rPr>
      </w:pPr>
    </w:p>
    <w:p w14:paraId="5FC013FB" w14:textId="39A566EC" w:rsidR="00FB4291" w:rsidRPr="00041AA0" w:rsidRDefault="00FB4291">
      <w:pPr>
        <w:rPr>
          <w:rFonts w:ascii="Times New Roman" w:hAnsi="Times New Roman"/>
          <w:sz w:val="24"/>
          <w:szCs w:val="24"/>
        </w:rPr>
      </w:pPr>
    </w:p>
    <w:p w14:paraId="66CB5D6C" w14:textId="77777777" w:rsidR="00FB4291" w:rsidRPr="00041AA0" w:rsidRDefault="008E78DF">
      <w:pPr>
        <w:jc w:val="center"/>
        <w:rPr>
          <w:rFonts w:ascii="Times New Roman" w:hAnsi="Times New Roman"/>
          <w:b/>
          <w:bCs/>
          <w:sz w:val="24"/>
          <w:szCs w:val="24"/>
          <w:u w:val="single"/>
        </w:rPr>
      </w:pPr>
      <w:r w:rsidRPr="00041AA0">
        <w:rPr>
          <w:rFonts w:ascii="Times New Roman" w:hAnsi="Times New Roman"/>
          <w:b/>
          <w:bCs/>
          <w:sz w:val="24"/>
          <w:szCs w:val="24"/>
          <w:u w:val="single"/>
        </w:rPr>
        <w:lastRenderedPageBreak/>
        <w:t xml:space="preserve">Works Cited </w:t>
      </w:r>
    </w:p>
    <w:p w14:paraId="22CBDEE3" w14:textId="77777777" w:rsidR="00FB4291" w:rsidRPr="00041AA0" w:rsidRDefault="008E78DF">
      <w:pPr>
        <w:pStyle w:val="NormalWeb"/>
        <w:ind w:left="567" w:hanging="567"/>
      </w:pPr>
      <w:proofErr w:type="spellStart"/>
      <w:r w:rsidRPr="00041AA0">
        <w:t>Alwan</w:t>
      </w:r>
      <w:proofErr w:type="spellEnd"/>
      <w:r w:rsidRPr="00041AA0">
        <w:t xml:space="preserve">, A. A., Dr. (2004). </w:t>
      </w:r>
      <w:r w:rsidRPr="00041AA0">
        <w:rPr>
          <w:i/>
          <w:iCs/>
        </w:rPr>
        <w:t>Education in Iraq Current Situation and New Perspectives</w:t>
      </w:r>
      <w:r w:rsidRPr="00041AA0">
        <w:t xml:space="preserve"> (Vol. 2004, Ministry of Education 2004). Baghdad: Ministry of Education. </w:t>
      </w:r>
      <w:proofErr w:type="gramStart"/>
      <w:r w:rsidRPr="00041AA0">
        <w:t>doi:https://govinfo.library.unt.edu/cpa-iraq/ES/Iraqmoe_sit_analysis.pdf</w:t>
      </w:r>
      <w:proofErr w:type="gramEnd"/>
      <w:r w:rsidRPr="00041AA0">
        <w:t xml:space="preserve"> (</w:t>
      </w:r>
      <w:proofErr w:type="spellStart"/>
      <w:r w:rsidRPr="00041AA0">
        <w:t>Alwan</w:t>
      </w:r>
      <w:proofErr w:type="spellEnd"/>
      <w:r w:rsidRPr="00041AA0">
        <w:t>)</w:t>
      </w:r>
    </w:p>
    <w:p w14:paraId="662A4018" w14:textId="77777777" w:rsidR="00FB4291" w:rsidRPr="00041AA0" w:rsidRDefault="008E78DF">
      <w:pPr>
        <w:pStyle w:val="NormalWeb"/>
        <w:ind w:left="567" w:hanging="567"/>
      </w:pPr>
      <w:r w:rsidRPr="00041AA0">
        <w:t xml:space="preserve">Asquith, C. (2003, November 25). A new history of Iraq. Retrieved April 08, 2021, from </w:t>
      </w:r>
      <w:hyperlink r:id="rId8" w:history="1">
        <w:r w:rsidRPr="00041AA0">
          <w:rPr>
            <w:rStyle w:val="Hyperlink"/>
            <w:color w:val="auto"/>
          </w:rPr>
          <w:t>https://www.theguardian.com/education/2003/nov/25/schools.schoolsworldwide</w:t>
        </w:r>
      </w:hyperlink>
      <w:r w:rsidRPr="00041AA0">
        <w:t xml:space="preserve"> (Asquith)</w:t>
      </w:r>
    </w:p>
    <w:p w14:paraId="7DE9C0A5" w14:textId="77777777" w:rsidR="00FB4291" w:rsidRPr="00041AA0" w:rsidRDefault="008E78DF">
      <w:pPr>
        <w:ind w:left="567" w:hanging="567"/>
        <w:rPr>
          <w:sz w:val="24"/>
          <w:szCs w:val="24"/>
        </w:rPr>
      </w:pPr>
      <w:r w:rsidRPr="00041AA0">
        <w:rPr>
          <w:rFonts w:ascii="Times New Roman" w:hAnsi="Times New Roman"/>
          <w:spacing w:val="-5"/>
          <w:sz w:val="24"/>
          <w:szCs w:val="24"/>
          <w:shd w:val="clear" w:color="auto" w:fill="FFFFFF"/>
        </w:rPr>
        <w:t>Bacon, D. (2004). Privatized Iraq: Imposed economic and social policies raise human rights            questions. </w:t>
      </w:r>
      <w:r w:rsidRPr="00041AA0">
        <w:rPr>
          <w:rFonts w:ascii="Times New Roman" w:hAnsi="Times New Roman"/>
          <w:i/>
          <w:iCs/>
          <w:spacing w:val="-5"/>
          <w:sz w:val="24"/>
          <w:szCs w:val="24"/>
          <w:shd w:val="clear" w:color="auto" w:fill="FFFFFF"/>
        </w:rPr>
        <w:t>Race, Poverty &amp; the Environment,</w:t>
      </w:r>
      <w:r w:rsidRPr="00041AA0">
        <w:rPr>
          <w:rFonts w:ascii="Times New Roman" w:hAnsi="Times New Roman"/>
          <w:spacing w:val="-5"/>
          <w:sz w:val="24"/>
          <w:szCs w:val="24"/>
          <w:shd w:val="clear" w:color="auto" w:fill="FFFFFF"/>
        </w:rPr>
        <w:t> </w:t>
      </w:r>
      <w:r w:rsidRPr="00041AA0">
        <w:rPr>
          <w:rFonts w:ascii="Times New Roman" w:hAnsi="Times New Roman"/>
          <w:i/>
          <w:iCs/>
          <w:spacing w:val="-5"/>
          <w:sz w:val="24"/>
          <w:szCs w:val="24"/>
          <w:shd w:val="clear" w:color="auto" w:fill="FFFFFF"/>
        </w:rPr>
        <w:t>11</w:t>
      </w:r>
      <w:r w:rsidRPr="00041AA0">
        <w:rPr>
          <w:rFonts w:ascii="Times New Roman" w:hAnsi="Times New Roman"/>
          <w:spacing w:val="-5"/>
          <w:sz w:val="24"/>
          <w:szCs w:val="24"/>
          <w:shd w:val="clear" w:color="auto" w:fill="FFFFFF"/>
        </w:rPr>
        <w:t xml:space="preserve">(1), 46-49. Retrieved April 8, 2021, from </w:t>
      </w:r>
      <w:hyperlink r:id="rId9" w:history="1">
        <w:r w:rsidRPr="00041AA0">
          <w:rPr>
            <w:rStyle w:val="Hyperlink"/>
            <w:rFonts w:ascii="Times New Roman" w:hAnsi="Times New Roman"/>
            <w:color w:val="auto"/>
            <w:spacing w:val="-5"/>
            <w:sz w:val="24"/>
            <w:szCs w:val="24"/>
            <w:shd w:val="clear" w:color="auto" w:fill="FFFFFF"/>
          </w:rPr>
          <w:t>http://www.jstor.org/stable/41554428</w:t>
        </w:r>
      </w:hyperlink>
      <w:r w:rsidRPr="00041AA0">
        <w:rPr>
          <w:rFonts w:ascii="Times New Roman" w:hAnsi="Times New Roman"/>
          <w:spacing w:val="-5"/>
          <w:sz w:val="24"/>
          <w:szCs w:val="24"/>
          <w:shd w:val="clear" w:color="auto" w:fill="FFFFFF"/>
        </w:rPr>
        <w:t xml:space="preserve"> (Bacon)</w:t>
      </w:r>
    </w:p>
    <w:p w14:paraId="0B906850" w14:textId="025D5E80" w:rsidR="00FB4291" w:rsidRPr="00041AA0" w:rsidRDefault="008E78DF">
      <w:pPr>
        <w:pStyle w:val="NormalWeb"/>
        <w:ind w:left="567" w:hanging="567"/>
      </w:pPr>
      <w:r w:rsidRPr="00041AA0">
        <w:t xml:space="preserve">Dobbins, J., Jones, S. G., Runkle, B., &amp; Mohandas, S. (2009). </w:t>
      </w:r>
      <w:r w:rsidRPr="00041AA0">
        <w:rPr>
          <w:i/>
          <w:iCs/>
        </w:rPr>
        <w:t xml:space="preserve">Occupying </w:t>
      </w:r>
      <w:proofErr w:type="gramStart"/>
      <w:r w:rsidRPr="00041AA0">
        <w:rPr>
          <w:i/>
          <w:iCs/>
        </w:rPr>
        <w:t>Iraq</w:t>
      </w:r>
      <w:proofErr w:type="gramEnd"/>
      <w:r w:rsidRPr="00041AA0">
        <w:rPr>
          <w:i/>
          <w:iCs/>
        </w:rPr>
        <w:t xml:space="preserve"> a history of the Coalition Provisional Authority</w:t>
      </w:r>
      <w:r w:rsidRPr="00041AA0">
        <w:t>. Santa Monica, CA: RAND. doi:2009007507 (Dobbins et. al)</w:t>
      </w:r>
      <w:r w:rsidR="00B92A50" w:rsidRPr="00041AA0">
        <w:t xml:space="preserve"> (Rand)</w:t>
      </w:r>
    </w:p>
    <w:p w14:paraId="3DFE8DF8" w14:textId="77777777" w:rsidR="00FB4291" w:rsidRPr="00041AA0" w:rsidRDefault="008E78DF">
      <w:pPr>
        <w:pStyle w:val="NormalWeb"/>
        <w:ind w:left="567" w:hanging="567"/>
      </w:pPr>
      <w:proofErr w:type="spellStart"/>
      <w:r w:rsidRPr="00041AA0">
        <w:t>Gusterson</w:t>
      </w:r>
      <w:proofErr w:type="spellEnd"/>
      <w:r w:rsidRPr="00041AA0">
        <w:t xml:space="preserve">, H. (2015, April). Costs of War: Education. Retrieved April 06, 2021, from </w:t>
      </w:r>
      <w:hyperlink r:id="rId10" w:history="1">
        <w:r w:rsidRPr="00041AA0">
          <w:rPr>
            <w:rStyle w:val="Hyperlink"/>
          </w:rPr>
          <w:t>https://watson.brown.edu/costsofwar/costs/social/education</w:t>
        </w:r>
      </w:hyperlink>
      <w:r w:rsidRPr="00041AA0">
        <w:t xml:space="preserve"> (</w:t>
      </w:r>
      <w:proofErr w:type="spellStart"/>
      <w:r w:rsidRPr="00041AA0">
        <w:t>Gusterson</w:t>
      </w:r>
      <w:proofErr w:type="spellEnd"/>
      <w:r w:rsidRPr="00041AA0">
        <w:t>)</w:t>
      </w:r>
    </w:p>
    <w:p w14:paraId="699932D1" w14:textId="77777777" w:rsidR="00FB4291" w:rsidRPr="00041AA0" w:rsidRDefault="008E78DF">
      <w:pPr>
        <w:pStyle w:val="NormalWeb"/>
        <w:ind w:left="567" w:hanging="567"/>
      </w:pPr>
      <w:r w:rsidRPr="00041AA0">
        <w:t xml:space="preserve">Iraqi Research Foundation for Analysis and Development. (2014). Iraq Education. Retrieved April 07, 2021, from </w:t>
      </w:r>
      <w:hyperlink r:id="rId11" w:anchor=":~:text=The%20official%20educational%20cycle%20in,scientific%20and%20literary%20and%20secondary" w:history="1">
        <w:r w:rsidRPr="00041AA0">
          <w:rPr>
            <w:rStyle w:val="Hyperlink"/>
          </w:rPr>
          <w:t>http://www.irfad.org/iraq-education/#:~:text=The%20official%20educational%20cycle%20in,scientific%20and%20literary%20and%20secondary</w:t>
        </w:r>
      </w:hyperlink>
      <w:r w:rsidRPr="00041AA0">
        <w:t xml:space="preserve"> (IRFAD)</w:t>
      </w:r>
    </w:p>
    <w:p w14:paraId="353F5FF5" w14:textId="77777777" w:rsidR="00FB4291" w:rsidRPr="00041AA0" w:rsidRDefault="008E78DF">
      <w:pPr>
        <w:pStyle w:val="NormalWeb"/>
        <w:ind w:left="567" w:hanging="567"/>
      </w:pPr>
      <w:r w:rsidRPr="00041AA0">
        <w:t xml:space="preserve">Mumm, C., &amp; USAID. (2004, January 02). Bechtel's work Rebuilding Iraqi </w:t>
      </w:r>
      <w:proofErr w:type="gramStart"/>
      <w:r w:rsidRPr="00041AA0">
        <w:t>schools :</w:t>
      </w:r>
      <w:proofErr w:type="gramEnd"/>
      <w:r w:rsidRPr="00041AA0">
        <w:t xml:space="preserve"> Letters to the editor. Retrieved April 08, 2021, from </w:t>
      </w:r>
      <w:hyperlink r:id="rId12" w:history="1">
        <w:r w:rsidRPr="00041AA0">
          <w:rPr>
            <w:rStyle w:val="Hyperlink"/>
          </w:rPr>
          <w:t>https://www.nytimes.com/2004/01/02/opinion/IHT-bechtels-work-rebuilding-iraqi-schools-letters-to-the-editor.html</w:t>
        </w:r>
      </w:hyperlink>
      <w:r w:rsidRPr="00041AA0">
        <w:t xml:space="preserve"> (Mumm)</w:t>
      </w:r>
    </w:p>
    <w:p w14:paraId="5B510049" w14:textId="77777777" w:rsidR="00FB4291" w:rsidRPr="00041AA0" w:rsidRDefault="008E78DF">
      <w:pPr>
        <w:pStyle w:val="NormalWeb"/>
        <w:ind w:left="567" w:hanging="567"/>
      </w:pPr>
      <w:r w:rsidRPr="00041AA0">
        <w:t xml:space="preserve">Shafiq, M. N. (2013). School enrollment in Iraq during the U.S.-led Invasion: A statistical analysis. </w:t>
      </w:r>
      <w:r w:rsidRPr="00041AA0">
        <w:rPr>
          <w:i/>
          <w:iCs/>
        </w:rPr>
        <w:t>International Journal of Educational Development,</w:t>
      </w:r>
      <w:r w:rsidRPr="00041AA0">
        <w:t xml:space="preserve"> </w:t>
      </w:r>
      <w:r w:rsidRPr="00041AA0">
        <w:rPr>
          <w:i/>
          <w:iCs/>
        </w:rPr>
        <w:t>33</w:t>
      </w:r>
      <w:r w:rsidRPr="00041AA0">
        <w:t xml:space="preserve">(2), 130-138. </w:t>
      </w:r>
      <w:proofErr w:type="gramStart"/>
      <w:r w:rsidRPr="00041AA0">
        <w:t>doi:10.1016/j.ijedudev</w:t>
      </w:r>
      <w:proofErr w:type="gramEnd"/>
      <w:r w:rsidRPr="00041AA0">
        <w:t>.2012.05.002 (Shafiq)</w:t>
      </w:r>
    </w:p>
    <w:p w14:paraId="4D84D8E5" w14:textId="77777777" w:rsidR="00FB4291" w:rsidRPr="00041AA0" w:rsidRDefault="008E78DF">
      <w:pPr>
        <w:pStyle w:val="NormalWeb"/>
        <w:ind w:left="567" w:hanging="567"/>
      </w:pPr>
      <w:r w:rsidRPr="00041AA0">
        <w:t xml:space="preserve">SIGIR (Ed.). (2009). </w:t>
      </w:r>
      <w:r w:rsidRPr="00041AA0">
        <w:rPr>
          <w:i/>
          <w:iCs/>
        </w:rPr>
        <w:t>Hard lessons: The Iraq reconstruction experience</w:t>
      </w:r>
      <w:r w:rsidRPr="00041AA0">
        <w:t>. Washington, D.C.: Special Inspector General, Iraq Reconstruction. (SIGIR)</w:t>
      </w:r>
    </w:p>
    <w:p w14:paraId="7C81A400" w14:textId="77777777" w:rsidR="00FB4291" w:rsidRPr="00041AA0" w:rsidRDefault="008E78DF">
      <w:pPr>
        <w:pStyle w:val="NormalWeb"/>
        <w:ind w:left="567" w:hanging="567"/>
      </w:pPr>
      <w:r w:rsidRPr="00041AA0">
        <w:t xml:space="preserve">UN Office of the Humanitarian Coordinator for Iraq, &amp; Relief Web. (2003). </w:t>
      </w:r>
      <w:r w:rsidRPr="00041AA0">
        <w:rPr>
          <w:i/>
          <w:iCs/>
        </w:rPr>
        <w:t>Education in Iraq</w:t>
      </w:r>
      <w:r w:rsidRPr="00041AA0">
        <w:t xml:space="preserve"> (Ser. 2003, pp. 1-4, Publication). UNOHCI. </w:t>
      </w:r>
      <w:proofErr w:type="gramStart"/>
      <w:r w:rsidRPr="00041AA0">
        <w:t>doi:https://reliefweb.int/report/iraq/background-paper-education-iraq#:~:text=On%20the%20whole%20Iraqi%20teachers,for%20better%20paid%20jobs%20elsewhere</w:t>
      </w:r>
      <w:proofErr w:type="gramEnd"/>
      <w:r w:rsidRPr="00041AA0">
        <w:t>. (UNOHCI)</w:t>
      </w:r>
    </w:p>
    <w:p w14:paraId="147D99E6" w14:textId="75E60AD2" w:rsidR="00FB4291" w:rsidRPr="00041AA0" w:rsidRDefault="008E78DF">
      <w:pPr>
        <w:pStyle w:val="NormalWeb"/>
        <w:ind w:left="567" w:hanging="567"/>
      </w:pPr>
      <w:r w:rsidRPr="00041AA0">
        <w:t xml:space="preserve">United Nations Educational Scientific Cultural Organization S. (2003). </w:t>
      </w:r>
      <w:r w:rsidRPr="00041AA0">
        <w:rPr>
          <w:i/>
          <w:iCs/>
        </w:rPr>
        <w:t>Situation Analysis of Education in Iraq 2003</w:t>
      </w:r>
      <w:r w:rsidRPr="00041AA0">
        <w:t xml:space="preserve"> (pp. 1-137, Rep.). Paris: United Nations. (UNESCO)</w:t>
      </w:r>
    </w:p>
    <w:p w14:paraId="250807B5" w14:textId="3C18A4FD" w:rsidR="00B92A50" w:rsidRPr="00B92A50" w:rsidRDefault="00B92A50" w:rsidP="00B92A50">
      <w:pPr>
        <w:suppressAutoHyphens w:val="0"/>
        <w:autoSpaceDN/>
        <w:spacing w:before="100" w:beforeAutospacing="1" w:after="100" w:afterAutospacing="1" w:line="240" w:lineRule="auto"/>
        <w:ind w:left="567" w:hanging="567"/>
        <w:textAlignment w:val="auto"/>
        <w:rPr>
          <w:rFonts w:ascii="Times New Roman" w:eastAsia="Times New Roman" w:hAnsi="Times New Roman"/>
          <w:sz w:val="24"/>
          <w:szCs w:val="24"/>
        </w:rPr>
      </w:pPr>
      <w:r w:rsidRPr="00B92A50">
        <w:rPr>
          <w:rFonts w:ascii="Times New Roman" w:eastAsia="Times New Roman" w:hAnsi="Times New Roman"/>
          <w:sz w:val="24"/>
          <w:szCs w:val="24"/>
        </w:rPr>
        <w:t>World Bank. (2021). GDP Per Capita - Iraq. Retrieved April 09, 2021, from</w:t>
      </w:r>
      <w:r w:rsidRPr="00041AA0">
        <w:rPr>
          <w:rFonts w:ascii="Times New Roman" w:eastAsia="Times New Roman" w:hAnsi="Times New Roman"/>
          <w:sz w:val="24"/>
          <w:szCs w:val="24"/>
        </w:rPr>
        <w:t xml:space="preserve"> </w:t>
      </w:r>
      <w:hyperlink r:id="rId13" w:history="1">
        <w:r w:rsidRPr="00041AA0">
          <w:rPr>
            <w:rStyle w:val="Hyperlink"/>
            <w:rFonts w:ascii="Times New Roman" w:eastAsia="Times New Roman" w:hAnsi="Times New Roman"/>
            <w:sz w:val="24"/>
            <w:szCs w:val="24"/>
          </w:rPr>
          <w:t>ht</w:t>
        </w:r>
        <w:r w:rsidRPr="00B92A50">
          <w:rPr>
            <w:rStyle w:val="Hyperlink"/>
            <w:rFonts w:ascii="Times New Roman" w:eastAsia="Times New Roman" w:hAnsi="Times New Roman"/>
            <w:sz w:val="24"/>
            <w:szCs w:val="24"/>
          </w:rPr>
          <w:t>tps://data.worldbank.org/indicator/NY.GDP.PCAP.CD?end=2001&amp;locations=IQ&amp;start=1980</w:t>
        </w:r>
      </w:hyperlink>
      <w:r w:rsidRPr="00041AA0">
        <w:rPr>
          <w:rFonts w:ascii="Times New Roman" w:eastAsia="Times New Roman" w:hAnsi="Times New Roman"/>
          <w:sz w:val="24"/>
          <w:szCs w:val="24"/>
        </w:rPr>
        <w:t xml:space="preserve"> (WB1)</w:t>
      </w:r>
    </w:p>
    <w:p w14:paraId="153A0909" w14:textId="77777777" w:rsidR="00B92A50" w:rsidRPr="00041AA0" w:rsidRDefault="00B92A50">
      <w:pPr>
        <w:pStyle w:val="NormalWeb"/>
        <w:ind w:left="567" w:hanging="567"/>
      </w:pPr>
    </w:p>
    <w:p w14:paraId="3185D6CF" w14:textId="77777777" w:rsidR="00FB4291" w:rsidRPr="00041AA0" w:rsidRDefault="008E78DF">
      <w:pPr>
        <w:pStyle w:val="NormalWeb"/>
        <w:ind w:left="567" w:hanging="567"/>
      </w:pPr>
      <w:proofErr w:type="spellStart"/>
      <w:r w:rsidRPr="00041AA0">
        <w:lastRenderedPageBreak/>
        <w:t>Zehr</w:t>
      </w:r>
      <w:proofErr w:type="spellEnd"/>
      <w:r w:rsidRPr="00041AA0">
        <w:t xml:space="preserve">, M. (2021, March 18). U.S. withdraws from education reform in Iraq. Retrieved April 08, 2021, from </w:t>
      </w:r>
      <w:hyperlink r:id="rId14" w:history="1">
        <w:r w:rsidRPr="00041AA0">
          <w:rPr>
            <w:rStyle w:val="Hyperlink"/>
          </w:rPr>
          <w:t>https://www.edweek.org/policy-politics/u-s-withdraws-from-education-reform-in-iraq/2006/08</w:t>
        </w:r>
      </w:hyperlink>
      <w:r w:rsidRPr="00041AA0">
        <w:t xml:space="preserve"> (</w:t>
      </w:r>
      <w:proofErr w:type="spellStart"/>
      <w:r w:rsidRPr="00041AA0">
        <w:t>Zehr</w:t>
      </w:r>
      <w:proofErr w:type="spellEnd"/>
      <w:r w:rsidRPr="00041AA0">
        <w:t>)</w:t>
      </w:r>
    </w:p>
    <w:p w14:paraId="768E9D43" w14:textId="77777777" w:rsidR="00FB4291" w:rsidRPr="00041AA0" w:rsidRDefault="00FB4291">
      <w:pPr>
        <w:rPr>
          <w:rFonts w:ascii="Times New Roman" w:hAnsi="Times New Roman"/>
          <w:sz w:val="24"/>
          <w:szCs w:val="24"/>
        </w:rPr>
      </w:pPr>
    </w:p>
    <w:sectPr w:rsidR="00FB4291" w:rsidRPr="00041AA0" w:rsidSect="00041AA0">
      <w:pgSz w:w="12240" w:h="15840"/>
      <w:pgMar w:top="1440" w:right="1224" w:bottom="1440" w:left="1224"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ECB81D" w14:textId="77777777" w:rsidR="00B719E6" w:rsidRDefault="00B719E6">
      <w:pPr>
        <w:spacing w:after="0" w:line="240" w:lineRule="auto"/>
      </w:pPr>
      <w:r>
        <w:separator/>
      </w:r>
    </w:p>
  </w:endnote>
  <w:endnote w:type="continuationSeparator" w:id="0">
    <w:p w14:paraId="124BFF12" w14:textId="77777777" w:rsidR="00B719E6" w:rsidRDefault="00B719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E03478" w14:textId="77777777" w:rsidR="00B719E6" w:rsidRDefault="00B719E6">
      <w:pPr>
        <w:spacing w:after="0" w:line="240" w:lineRule="auto"/>
      </w:pPr>
      <w:r>
        <w:rPr>
          <w:color w:val="000000"/>
        </w:rPr>
        <w:separator/>
      </w:r>
    </w:p>
  </w:footnote>
  <w:footnote w:type="continuationSeparator" w:id="0">
    <w:p w14:paraId="0332BCC5" w14:textId="77777777" w:rsidR="00B719E6" w:rsidRDefault="00B719E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4291"/>
    <w:rsid w:val="00041AA0"/>
    <w:rsid w:val="00387831"/>
    <w:rsid w:val="00531538"/>
    <w:rsid w:val="005B32D1"/>
    <w:rsid w:val="006F2791"/>
    <w:rsid w:val="008E78DF"/>
    <w:rsid w:val="009B1DB8"/>
    <w:rsid w:val="009D51B8"/>
    <w:rsid w:val="00B4610A"/>
    <w:rsid w:val="00B719E6"/>
    <w:rsid w:val="00B92A50"/>
    <w:rsid w:val="00D62177"/>
    <w:rsid w:val="00FB42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3AC7D2"/>
  <w15:docId w15:val="{1773BBBA-8B02-4334-81D4-1EA5971B9D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US" w:eastAsia="en-US" w:bidi="ar-SA"/>
      </w:rPr>
    </w:rPrDefault>
    <w:pPrDefault>
      <w:pPr>
        <w:autoSpaceDN w:val="0"/>
        <w:spacing w:after="160" w:line="25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563C1"/>
      <w:u w:val="single"/>
    </w:rPr>
  </w:style>
  <w:style w:type="character" w:styleId="UnresolvedMention">
    <w:name w:val="Unresolved Mention"/>
    <w:basedOn w:val="DefaultParagraphFont"/>
    <w:rPr>
      <w:color w:val="605E5C"/>
      <w:shd w:val="clear" w:color="auto" w:fill="E1DFDD"/>
    </w:rPr>
  </w:style>
  <w:style w:type="paragraph" w:styleId="NormalWeb">
    <w:name w:val="Normal (Web)"/>
    <w:basedOn w:val="Normal"/>
    <w:uiPriority w:val="99"/>
    <w:pPr>
      <w:spacing w:before="100" w:after="100" w:line="240" w:lineRule="auto"/>
    </w:pPr>
    <w:rPr>
      <w:rFonts w:ascii="Times New Roman" w:eastAsia="Times New Roman" w:hAnsi="Times New Roman"/>
      <w:sz w:val="24"/>
      <w:szCs w:val="24"/>
    </w:rPr>
  </w:style>
  <w:style w:type="paragraph" w:styleId="Header">
    <w:name w:val="header"/>
    <w:basedOn w:val="Normal"/>
    <w:link w:val="HeaderChar"/>
    <w:uiPriority w:val="99"/>
    <w:unhideWhenUsed/>
    <w:rsid w:val="00041AA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41AA0"/>
  </w:style>
  <w:style w:type="paragraph" w:styleId="Footer">
    <w:name w:val="footer"/>
    <w:basedOn w:val="Normal"/>
    <w:link w:val="FooterChar"/>
    <w:uiPriority w:val="99"/>
    <w:unhideWhenUsed/>
    <w:rsid w:val="00041AA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41A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612554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theguardian.com/education/2003/nov/25/schools.schoolsworldwide" TargetMode="External"/><Relationship Id="rId13" Type="http://schemas.openxmlformats.org/officeDocument/2006/relationships/hyperlink" Target="https://data.worldbank.org/indicator/NY.GDP.PCAP.CD?end=2001&amp;locations=IQ&amp;start=1980" TargetMode="External"/><Relationship Id="rId3" Type="http://schemas.openxmlformats.org/officeDocument/2006/relationships/webSettings" Target="webSettings.xml"/><Relationship Id="rId7" Type="http://schemas.openxmlformats.org/officeDocument/2006/relationships/chart" Target="charts/chart2.xml"/><Relationship Id="rId12" Type="http://schemas.openxmlformats.org/officeDocument/2006/relationships/hyperlink" Target="https://www.nytimes.com/2004/01/02/opinion/IHT-bechtels-work-rebuilding-iraqi-schools-letters-to-the-editor.html"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chart" Target="charts/chart1.xml"/><Relationship Id="rId11" Type="http://schemas.openxmlformats.org/officeDocument/2006/relationships/hyperlink" Target="http://www.irfad.org/iraq-education/" TargetMode="Externa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https://watson.brown.edu/costsofwar/costs/social/education" TargetMode="External"/><Relationship Id="rId4" Type="http://schemas.openxmlformats.org/officeDocument/2006/relationships/footnotes" Target="footnotes.xml"/><Relationship Id="rId9" Type="http://schemas.openxmlformats.org/officeDocument/2006/relationships/hyperlink" Target="http://www.jstor.org/stable/41554428" TargetMode="External"/><Relationship Id="rId14" Type="http://schemas.openxmlformats.org/officeDocument/2006/relationships/hyperlink" Target="https://www.edweek.org/policy-politics/u-s-withdraws-from-education-reform-in-iraq/2006/08"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NULL"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NULL"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c:style val="2"/>
  <c:chart>
    <c:title>
      <c:tx>
        <c:rich>
          <a:bodyPr lIns="0" tIns="0" rIns="0" bIns="0"/>
          <a:lstStyle/>
          <a:p>
            <a:pPr marL="0" marR="0" indent="0" algn="ctr" defTabSz="914400" fontAlgn="auto" hangingPunct="1">
              <a:lnSpc>
                <a:spcPct val="100000"/>
              </a:lnSpc>
              <a:spcBef>
                <a:spcPts val="0"/>
              </a:spcBef>
              <a:spcAft>
                <a:spcPts val="0"/>
              </a:spcAft>
              <a:tabLst/>
              <a:defRPr sz="1400" b="0" i="0" u="none" strike="noStrike" kern="1200" spc="0" baseline="0">
                <a:solidFill>
                  <a:srgbClr val="595959"/>
                </a:solidFill>
                <a:latin typeface="Calibri"/>
              </a:defRPr>
            </a:pPr>
            <a:r>
              <a:rPr lang="en-US" sz="1400" b="0" i="0" u="none" strike="noStrike" kern="1200" cap="none" spc="0" baseline="0">
                <a:solidFill>
                  <a:srgbClr val="595959"/>
                </a:solidFill>
                <a:uFillTx/>
                <a:latin typeface="Calibri"/>
              </a:rPr>
              <a:t>Iraq's GDP Per Capita</a:t>
            </a:r>
          </a:p>
        </c:rich>
      </c:tx>
      <c:overlay val="0"/>
      <c:spPr>
        <a:noFill/>
        <a:ln>
          <a:noFill/>
        </a:ln>
      </c:spPr>
    </c:title>
    <c:autoTitleDeleted val="0"/>
    <c:plotArea>
      <c:layout/>
      <c:lineChart>
        <c:grouping val="standard"/>
        <c:varyColors val="0"/>
        <c:ser>
          <c:idx val="0"/>
          <c:order val="0"/>
          <c:tx>
            <c:v>GDP Per Capita</c:v>
          </c:tx>
          <c:spPr>
            <a:ln w="28575" cap="rnd">
              <a:solidFill>
                <a:srgbClr val="4472C4"/>
              </a:solidFill>
              <a:prstDash val="solid"/>
              <a:round/>
            </a:ln>
          </c:spPr>
          <c:marker>
            <c:symbol val="none"/>
          </c:marker>
          <c:cat>
            <c:numLit>
              <c:formatCode>General</c:formatCode>
              <c:ptCount val="21"/>
              <c:pt idx="0">
                <c:v>1982</c:v>
              </c:pt>
              <c:pt idx="1">
                <c:v>1983</c:v>
              </c:pt>
              <c:pt idx="2">
                <c:v>1984</c:v>
              </c:pt>
              <c:pt idx="3">
                <c:v>1985</c:v>
              </c:pt>
              <c:pt idx="4">
                <c:v>1986</c:v>
              </c:pt>
              <c:pt idx="5">
                <c:v>1987</c:v>
              </c:pt>
              <c:pt idx="6">
                <c:v>1988</c:v>
              </c:pt>
              <c:pt idx="7">
                <c:v>1989</c:v>
              </c:pt>
              <c:pt idx="8">
                <c:v>1990</c:v>
              </c:pt>
              <c:pt idx="9">
                <c:v>1991</c:v>
              </c:pt>
              <c:pt idx="10">
                <c:v>1992</c:v>
              </c:pt>
              <c:pt idx="11">
                <c:v>1993</c:v>
              </c:pt>
              <c:pt idx="12">
                <c:v>1994</c:v>
              </c:pt>
              <c:pt idx="13">
                <c:v>1995</c:v>
              </c:pt>
              <c:pt idx="14">
                <c:v>1996</c:v>
              </c:pt>
              <c:pt idx="15">
                <c:v>1997</c:v>
              </c:pt>
              <c:pt idx="16">
                <c:v>1998</c:v>
              </c:pt>
              <c:pt idx="17">
                <c:v>1999</c:v>
              </c:pt>
              <c:pt idx="18">
                <c:v>2000</c:v>
              </c:pt>
              <c:pt idx="19">
                <c:v>2001</c:v>
              </c:pt>
              <c:pt idx="20">
                <c:v>2002</c:v>
              </c:pt>
            </c:numLit>
          </c:cat>
          <c:val>
            <c:numLit>
              <c:formatCode>General</c:formatCode>
              <c:ptCount val="21"/>
              <c:pt idx="0">
                <c:v>3248</c:v>
              </c:pt>
              <c:pt idx="1">
                <c:v>2751</c:v>
              </c:pt>
              <c:pt idx="2">
                <c:v>2643</c:v>
              </c:pt>
              <c:pt idx="3">
                <c:v>2618</c:v>
              </c:pt>
              <c:pt idx="4">
                <c:v>2679</c:v>
              </c:pt>
              <c:pt idx="5">
                <c:v>2866</c:v>
              </c:pt>
              <c:pt idx="6">
                <c:v>2804</c:v>
              </c:pt>
              <c:pt idx="7">
                <c:v>2655</c:v>
              </c:pt>
              <c:pt idx="8">
                <c:v>4089</c:v>
              </c:pt>
              <c:pt idx="9">
                <c:v>1431</c:v>
              </c:pt>
              <c:pt idx="10">
                <c:v>1845</c:v>
              </c:pt>
              <c:pt idx="11">
                <c:v>2334</c:v>
              </c:pt>
              <c:pt idx="12">
                <c:v>2351</c:v>
              </c:pt>
              <c:pt idx="13">
                <c:v>2328</c:v>
              </c:pt>
              <c:pt idx="14">
                <c:v>2506</c:v>
              </c:pt>
              <c:pt idx="15">
                <c:v>2945</c:v>
              </c:pt>
              <c:pt idx="16">
                <c:v>3851</c:v>
              </c:pt>
              <c:pt idx="17">
                <c:v>4392</c:v>
              </c:pt>
              <c:pt idx="18">
                <c:v>4322</c:v>
              </c:pt>
              <c:pt idx="19">
                <c:v>4291</c:v>
              </c:pt>
              <c:pt idx="20">
                <c:v>3879</c:v>
              </c:pt>
            </c:numLit>
          </c:val>
          <c:smooth val="0"/>
          <c:extLst>
            <c:ext xmlns:c16="http://schemas.microsoft.com/office/drawing/2014/chart" uri="{C3380CC4-5D6E-409C-BE32-E72D297353CC}">
              <c16:uniqueId val="{00000000-5D47-4217-96CE-436A4FD66B91}"/>
            </c:ext>
          </c:extLst>
        </c:ser>
        <c:dLbls>
          <c:showLegendKey val="0"/>
          <c:showVal val="0"/>
          <c:showCatName val="0"/>
          <c:showSerName val="0"/>
          <c:showPercent val="0"/>
          <c:showBubbleSize val="0"/>
        </c:dLbls>
        <c:smooth val="0"/>
        <c:axId val="472568944"/>
        <c:axId val="472576488"/>
      </c:lineChart>
      <c:valAx>
        <c:axId val="472576488"/>
        <c:scaling>
          <c:orientation val="minMax"/>
        </c:scaling>
        <c:delete val="0"/>
        <c:axPos val="l"/>
        <c:majorGridlines>
          <c:spPr>
            <a:ln w="9528" cap="flat">
              <a:solidFill>
                <a:srgbClr val="D9D9D9"/>
              </a:solidFill>
              <a:prstDash val="solid"/>
              <a:round/>
            </a:ln>
          </c:spPr>
        </c:majorGridlines>
        <c:title>
          <c:tx>
            <c:rich>
              <a:bodyPr lIns="0" tIns="0" rIns="0" bIns="0"/>
              <a:lstStyle/>
              <a:p>
                <a:pPr marL="0" marR="0" indent="0" algn="ctr" defTabSz="914400" fontAlgn="auto" hangingPunct="1">
                  <a:lnSpc>
                    <a:spcPct val="100000"/>
                  </a:lnSpc>
                  <a:spcBef>
                    <a:spcPts val="0"/>
                  </a:spcBef>
                  <a:spcAft>
                    <a:spcPts val="0"/>
                  </a:spcAft>
                  <a:tabLst/>
                  <a:defRPr sz="1000" b="0" i="0" u="none" strike="noStrike" kern="1200" baseline="0">
                    <a:solidFill>
                      <a:srgbClr val="595959"/>
                    </a:solidFill>
                    <a:latin typeface="Calibri"/>
                  </a:defRPr>
                </a:pPr>
                <a:r>
                  <a:rPr lang="en-US" sz="1000" b="0" i="0" u="none" strike="noStrike" kern="1200" cap="none" spc="0" baseline="0">
                    <a:solidFill>
                      <a:srgbClr val="595959"/>
                    </a:solidFill>
                    <a:uFillTx/>
                    <a:latin typeface="Calibri"/>
                  </a:rPr>
                  <a:t>Constant 2010 USD</a:t>
                </a:r>
              </a:p>
            </c:rich>
          </c:tx>
          <c:overlay val="0"/>
          <c:spPr>
            <a:noFill/>
            <a:ln>
              <a:noFill/>
            </a:ln>
          </c:spPr>
        </c:title>
        <c:numFmt formatCode="General" sourceLinked="0"/>
        <c:majorTickMark val="none"/>
        <c:minorTickMark val="none"/>
        <c:tickLblPos val="nextTo"/>
        <c:spPr>
          <a:noFill/>
          <a:ln>
            <a:noFill/>
          </a:ln>
        </c:spPr>
        <c:txPr>
          <a:bodyPr lIns="0" tIns="0" rIns="0" bIns="0"/>
          <a:lstStyle/>
          <a:p>
            <a:pPr marL="0" marR="0" indent="0" defTabSz="914400" fontAlgn="auto" hangingPunct="1">
              <a:lnSpc>
                <a:spcPct val="100000"/>
              </a:lnSpc>
              <a:spcBef>
                <a:spcPts val="0"/>
              </a:spcBef>
              <a:spcAft>
                <a:spcPts val="0"/>
              </a:spcAft>
              <a:tabLst/>
              <a:defRPr sz="900" b="0" i="0" u="none" strike="noStrike" kern="1200" baseline="0">
                <a:solidFill>
                  <a:srgbClr val="595959"/>
                </a:solidFill>
                <a:latin typeface="Calibri"/>
              </a:defRPr>
            </a:pPr>
            <a:endParaRPr lang="en-US"/>
          </a:p>
        </c:txPr>
        <c:crossAx val="472568944"/>
        <c:crosses val="autoZero"/>
        <c:crossBetween val="between"/>
      </c:valAx>
      <c:catAx>
        <c:axId val="472568944"/>
        <c:scaling>
          <c:orientation val="minMax"/>
        </c:scaling>
        <c:delete val="0"/>
        <c:axPos val="b"/>
        <c:title>
          <c:tx>
            <c:rich>
              <a:bodyPr lIns="0" tIns="0" rIns="0" bIns="0"/>
              <a:lstStyle/>
              <a:p>
                <a:pPr marL="0" marR="0" indent="0" algn="ctr" defTabSz="914400" fontAlgn="auto" hangingPunct="1">
                  <a:lnSpc>
                    <a:spcPct val="100000"/>
                  </a:lnSpc>
                  <a:spcBef>
                    <a:spcPts val="0"/>
                  </a:spcBef>
                  <a:spcAft>
                    <a:spcPts val="0"/>
                  </a:spcAft>
                  <a:tabLst/>
                  <a:defRPr sz="1000" b="0" i="0" u="none" strike="noStrike" kern="1200" baseline="0">
                    <a:solidFill>
                      <a:srgbClr val="595959"/>
                    </a:solidFill>
                    <a:latin typeface="Calibri"/>
                  </a:defRPr>
                </a:pPr>
                <a:r>
                  <a:rPr lang="en-US" sz="1000" b="0" i="0" u="none" strike="noStrike" kern="1200" cap="none" spc="0" baseline="0">
                    <a:solidFill>
                      <a:srgbClr val="595959"/>
                    </a:solidFill>
                    <a:uFillTx/>
                    <a:latin typeface="Calibri"/>
                  </a:rPr>
                  <a:t>Year</a:t>
                </a:r>
              </a:p>
            </c:rich>
          </c:tx>
          <c:layout>
            <c:manualLayout>
              <c:xMode val="edge"/>
              <c:yMode val="edge"/>
              <c:x val="0.47662371456933855"/>
              <c:y val="0.88331005464671675"/>
            </c:manualLayout>
          </c:layout>
          <c:overlay val="0"/>
          <c:spPr>
            <a:noFill/>
            <a:ln>
              <a:noFill/>
            </a:ln>
          </c:spPr>
        </c:title>
        <c:numFmt formatCode="General" sourceLinked="0"/>
        <c:majorTickMark val="none"/>
        <c:minorTickMark val="none"/>
        <c:tickLblPos val="nextTo"/>
        <c:spPr>
          <a:noFill/>
          <a:ln w="9528" cap="flat">
            <a:solidFill>
              <a:srgbClr val="D9D9D9"/>
            </a:solidFill>
            <a:prstDash val="solid"/>
            <a:round/>
          </a:ln>
        </c:spPr>
        <c:txPr>
          <a:bodyPr lIns="0" tIns="0" rIns="0" bIns="0"/>
          <a:lstStyle/>
          <a:p>
            <a:pPr marL="0" marR="0" indent="0" defTabSz="914400" fontAlgn="auto" hangingPunct="1">
              <a:lnSpc>
                <a:spcPct val="100000"/>
              </a:lnSpc>
              <a:spcBef>
                <a:spcPts val="0"/>
              </a:spcBef>
              <a:spcAft>
                <a:spcPts val="0"/>
              </a:spcAft>
              <a:tabLst/>
              <a:defRPr sz="900" b="0" i="0" u="none" strike="noStrike" kern="1200" baseline="0">
                <a:solidFill>
                  <a:srgbClr val="595959"/>
                </a:solidFill>
                <a:latin typeface="Calibri"/>
              </a:defRPr>
            </a:pPr>
            <a:endParaRPr lang="en-US"/>
          </a:p>
        </c:txPr>
        <c:crossAx val="472576488"/>
        <c:crosses val="autoZero"/>
        <c:auto val="1"/>
        <c:lblAlgn val="ctr"/>
        <c:lblOffset val="100"/>
        <c:noMultiLvlLbl val="0"/>
      </c:catAx>
      <c:spPr>
        <a:noFill/>
        <a:ln>
          <a:noFill/>
        </a:ln>
      </c:spPr>
    </c:plotArea>
    <c:plotVisOnly val="1"/>
    <c:dispBlanksAs val="gap"/>
    <c:showDLblsOverMax val="0"/>
  </c:chart>
  <c:spPr>
    <a:solidFill>
      <a:srgbClr val="FFFFFF"/>
    </a:solidFill>
    <a:ln w="9528" cap="flat">
      <a:solidFill>
        <a:srgbClr val="D9D9D9"/>
      </a:solidFill>
      <a:prstDash val="solid"/>
      <a:round/>
    </a:ln>
  </c:spPr>
  <c:txPr>
    <a:bodyPr lIns="0" tIns="0" rIns="0" bIns="0"/>
    <a:lstStyle/>
    <a:p>
      <a:pPr marL="0" marR="0" indent="0" defTabSz="914400" fontAlgn="auto" hangingPunct="1">
        <a:lnSpc>
          <a:spcPct val="100000"/>
        </a:lnSpc>
        <a:spcBef>
          <a:spcPts val="0"/>
        </a:spcBef>
        <a:spcAft>
          <a:spcPts val="0"/>
        </a:spcAft>
        <a:tabLst/>
        <a:defRPr lang="en-US" sz="1000" b="0" i="0" u="none" strike="noStrike" kern="1200" baseline="0">
          <a:solidFill>
            <a:srgbClr val="000000"/>
          </a:solidFill>
          <a:latin typeface="Calibri"/>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c:style val="2"/>
  <c:chart>
    <c:title>
      <c:tx>
        <c:rich>
          <a:bodyPr lIns="0" tIns="0" rIns="0" bIns="0"/>
          <a:lstStyle/>
          <a:p>
            <a:pPr marL="0" marR="0" indent="0" algn="ctr" defTabSz="914400" fontAlgn="auto" hangingPunct="1">
              <a:lnSpc>
                <a:spcPct val="100000"/>
              </a:lnSpc>
              <a:spcBef>
                <a:spcPts val="0"/>
              </a:spcBef>
              <a:spcAft>
                <a:spcPts val="0"/>
              </a:spcAft>
              <a:tabLst/>
              <a:defRPr sz="1400" b="0" i="0" u="none" strike="noStrike" kern="1200" spc="0" baseline="0">
                <a:solidFill>
                  <a:srgbClr val="595959"/>
                </a:solidFill>
                <a:latin typeface="Calibri"/>
              </a:defRPr>
            </a:pPr>
            <a:r>
              <a:rPr lang="en-US" sz="1400" b="0" i="0" u="none" strike="noStrike" kern="1200" cap="none" spc="0" baseline="0">
                <a:solidFill>
                  <a:srgbClr val="595959"/>
                </a:solidFill>
                <a:uFillTx/>
                <a:latin typeface="Calibri"/>
              </a:rPr>
              <a:t>Completion of CPA estimated Deficit</a:t>
            </a:r>
          </a:p>
        </c:rich>
      </c:tx>
      <c:overlay val="0"/>
      <c:spPr>
        <a:noFill/>
        <a:ln>
          <a:noFill/>
        </a:ln>
      </c:spPr>
    </c:title>
    <c:autoTitleDeleted val="0"/>
    <c:plotArea>
      <c:layout/>
      <c:barChart>
        <c:barDir val="col"/>
        <c:grouping val="clustered"/>
        <c:varyColors val="0"/>
        <c:ser>
          <c:idx val="0"/>
          <c:order val="0"/>
          <c:tx>
            <c:v>% of required</c:v>
          </c:tx>
          <c:spPr>
            <a:solidFill>
              <a:srgbClr val="4472C4"/>
            </a:solidFill>
            <a:ln>
              <a:noFill/>
            </a:ln>
          </c:spPr>
          <c:invertIfNegative val="0"/>
          <c:dLbls>
            <c:spPr>
              <a:noFill/>
              <a:ln>
                <a:noFill/>
              </a:ln>
              <a:effectLst/>
            </c:spPr>
            <c:txPr>
              <a:bodyPr lIns="0" tIns="0" rIns="0" bIns="0"/>
              <a:lstStyle/>
              <a:p>
                <a:pPr marL="0" marR="0" indent="0" algn="ctr" defTabSz="914400" fontAlgn="auto" hangingPunct="1">
                  <a:lnSpc>
                    <a:spcPct val="100000"/>
                  </a:lnSpc>
                  <a:spcBef>
                    <a:spcPts val="0"/>
                  </a:spcBef>
                  <a:spcAft>
                    <a:spcPts val="0"/>
                  </a:spcAft>
                  <a:tabLst/>
                  <a:defRPr sz="900" b="0" i="0" u="none" strike="noStrike" kern="1200" baseline="0">
                    <a:solidFill>
                      <a:srgbClr val="404040"/>
                    </a:solidFill>
                    <a:latin typeface="Calibri"/>
                  </a:defRPr>
                </a:pPr>
                <a:endParaRPr lang="en-US"/>
              </a:p>
            </c:txPr>
            <c:showLegendKey val="0"/>
            <c:showVal val="1"/>
            <c:showCatName val="0"/>
            <c:showSerName val="0"/>
            <c:showPercent val="0"/>
            <c:showBubbleSize val="0"/>
            <c:separator>, </c:separator>
            <c:showLeaderLines val="0"/>
            <c:extLst>
              <c:ext xmlns:c15="http://schemas.microsoft.com/office/drawing/2012/chart" uri="{CE6537A1-D6FC-4f65-9D91-7224C49458BB}">
                <c15:spPr xmlns:c15="http://schemas.microsoft.com/office/drawing/2012/chart">
                  <a:prstGeom prst="rect">
                    <a:avLst/>
                  </a:prstGeom>
                </c15:spPr>
                <c15:showLeaderLines val="1"/>
              </c:ext>
            </c:extLst>
          </c:dLbls>
          <c:cat>
            <c:strLit>
              <c:ptCount val="4"/>
              <c:pt idx="0">
                <c:v>Schools rehabed</c:v>
              </c:pt>
              <c:pt idx="1">
                <c:v>Teachers Trained </c:v>
              </c:pt>
              <c:pt idx="2">
                <c:v>School Kits Delivered</c:v>
              </c:pt>
              <c:pt idx="3">
                <c:v>Primary School Enrollment</c:v>
              </c:pt>
            </c:strLit>
          </c:cat>
          <c:val>
            <c:numLit>
              <c:formatCode>General</c:formatCode>
              <c:ptCount val="4"/>
              <c:pt idx="0">
                <c:v>26.2</c:v>
              </c:pt>
              <c:pt idx="1">
                <c:v>13.9</c:v>
              </c:pt>
              <c:pt idx="2">
                <c:v>25.84</c:v>
              </c:pt>
              <c:pt idx="3">
                <c:v>50.09</c:v>
              </c:pt>
            </c:numLit>
          </c:val>
          <c:extLst>
            <c:ext xmlns:c16="http://schemas.microsoft.com/office/drawing/2014/chart" uri="{C3380CC4-5D6E-409C-BE32-E72D297353CC}">
              <c16:uniqueId val="{00000000-8317-4541-A547-B4CA25855926}"/>
            </c:ext>
          </c:extLst>
        </c:ser>
        <c:dLbls>
          <c:showLegendKey val="0"/>
          <c:showVal val="0"/>
          <c:showCatName val="0"/>
          <c:showSerName val="0"/>
          <c:showPercent val="0"/>
          <c:showBubbleSize val="0"/>
        </c:dLbls>
        <c:gapWidth val="219"/>
        <c:overlap val="-27"/>
        <c:axId val="472575832"/>
        <c:axId val="472574848"/>
      </c:barChart>
      <c:valAx>
        <c:axId val="472574848"/>
        <c:scaling>
          <c:orientation val="minMax"/>
        </c:scaling>
        <c:delete val="0"/>
        <c:axPos val="l"/>
        <c:majorGridlines>
          <c:spPr>
            <a:ln w="9528" cap="flat">
              <a:solidFill>
                <a:srgbClr val="D9D9D9"/>
              </a:solidFill>
              <a:prstDash val="solid"/>
              <a:round/>
            </a:ln>
          </c:spPr>
        </c:majorGridlines>
        <c:title>
          <c:tx>
            <c:rich>
              <a:bodyPr lIns="0" tIns="0" rIns="0" bIns="0"/>
              <a:lstStyle/>
              <a:p>
                <a:pPr marL="0" marR="0" indent="0" algn="ctr" defTabSz="914400" fontAlgn="auto" hangingPunct="1">
                  <a:lnSpc>
                    <a:spcPct val="100000"/>
                  </a:lnSpc>
                  <a:spcBef>
                    <a:spcPts val="0"/>
                  </a:spcBef>
                  <a:spcAft>
                    <a:spcPts val="0"/>
                  </a:spcAft>
                  <a:tabLst/>
                  <a:defRPr sz="1000" b="0" i="0" u="none" strike="noStrike" kern="1200" baseline="0">
                    <a:solidFill>
                      <a:srgbClr val="595959"/>
                    </a:solidFill>
                    <a:latin typeface="Calibri"/>
                  </a:defRPr>
                </a:pPr>
                <a:r>
                  <a:rPr lang="en-US" sz="1000" b="0" i="0" u="none" strike="noStrike" kern="1200" cap="none" spc="0" baseline="0">
                    <a:solidFill>
                      <a:srgbClr val="595959"/>
                    </a:solidFill>
                    <a:uFillTx/>
                    <a:latin typeface="Calibri"/>
                  </a:rPr>
                  <a:t>Percentage of Defict met by 2004</a:t>
                </a:r>
              </a:p>
            </c:rich>
          </c:tx>
          <c:overlay val="0"/>
          <c:spPr>
            <a:noFill/>
            <a:ln>
              <a:noFill/>
            </a:ln>
          </c:spPr>
        </c:title>
        <c:numFmt formatCode="General" sourceLinked="0"/>
        <c:majorTickMark val="none"/>
        <c:minorTickMark val="none"/>
        <c:tickLblPos val="nextTo"/>
        <c:spPr>
          <a:noFill/>
          <a:ln>
            <a:noFill/>
          </a:ln>
        </c:spPr>
        <c:txPr>
          <a:bodyPr lIns="0" tIns="0" rIns="0" bIns="0"/>
          <a:lstStyle/>
          <a:p>
            <a:pPr marL="0" marR="0" indent="0" defTabSz="914400" fontAlgn="auto" hangingPunct="1">
              <a:lnSpc>
                <a:spcPct val="100000"/>
              </a:lnSpc>
              <a:spcBef>
                <a:spcPts val="0"/>
              </a:spcBef>
              <a:spcAft>
                <a:spcPts val="0"/>
              </a:spcAft>
              <a:tabLst/>
              <a:defRPr sz="900" b="0" i="0" u="none" strike="noStrike" kern="1200" baseline="0">
                <a:solidFill>
                  <a:srgbClr val="595959"/>
                </a:solidFill>
                <a:latin typeface="Calibri"/>
              </a:defRPr>
            </a:pPr>
            <a:endParaRPr lang="en-US"/>
          </a:p>
        </c:txPr>
        <c:crossAx val="472575832"/>
        <c:crosses val="autoZero"/>
        <c:crossBetween val="between"/>
      </c:valAx>
      <c:catAx>
        <c:axId val="472575832"/>
        <c:scaling>
          <c:orientation val="minMax"/>
        </c:scaling>
        <c:delete val="0"/>
        <c:axPos val="b"/>
        <c:title>
          <c:tx>
            <c:rich>
              <a:bodyPr lIns="0" tIns="0" rIns="0" bIns="0"/>
              <a:lstStyle/>
              <a:p>
                <a:pPr marL="0" marR="0" indent="0" algn="ctr" defTabSz="914400" fontAlgn="auto" hangingPunct="1">
                  <a:lnSpc>
                    <a:spcPct val="100000"/>
                  </a:lnSpc>
                  <a:spcBef>
                    <a:spcPts val="0"/>
                  </a:spcBef>
                  <a:spcAft>
                    <a:spcPts val="0"/>
                  </a:spcAft>
                  <a:tabLst/>
                  <a:defRPr sz="1000" b="0" i="0" u="none" strike="noStrike" kern="1200" baseline="0">
                    <a:solidFill>
                      <a:srgbClr val="595959"/>
                    </a:solidFill>
                    <a:latin typeface="Calibri"/>
                  </a:defRPr>
                </a:pPr>
                <a:r>
                  <a:rPr lang="en-US" sz="1000" b="0" i="0" u="none" strike="noStrike" kern="1200" cap="none" spc="0" baseline="0">
                    <a:solidFill>
                      <a:srgbClr val="595959"/>
                    </a:solidFill>
                    <a:uFillTx/>
                    <a:latin typeface="Calibri"/>
                  </a:rPr>
                  <a:t>CPA Objectives</a:t>
                </a:r>
              </a:p>
            </c:rich>
          </c:tx>
          <c:overlay val="0"/>
          <c:spPr>
            <a:noFill/>
            <a:ln>
              <a:noFill/>
            </a:ln>
          </c:spPr>
        </c:title>
        <c:numFmt formatCode="General" sourceLinked="0"/>
        <c:majorTickMark val="none"/>
        <c:minorTickMark val="none"/>
        <c:tickLblPos val="nextTo"/>
        <c:spPr>
          <a:noFill/>
          <a:ln w="9528" cap="flat">
            <a:solidFill>
              <a:srgbClr val="D9D9D9"/>
            </a:solidFill>
            <a:prstDash val="solid"/>
            <a:round/>
          </a:ln>
        </c:spPr>
        <c:txPr>
          <a:bodyPr lIns="0" tIns="0" rIns="0" bIns="0"/>
          <a:lstStyle/>
          <a:p>
            <a:pPr marL="0" marR="0" indent="0" defTabSz="914400" fontAlgn="auto" hangingPunct="1">
              <a:lnSpc>
                <a:spcPct val="100000"/>
              </a:lnSpc>
              <a:spcBef>
                <a:spcPts val="0"/>
              </a:spcBef>
              <a:spcAft>
                <a:spcPts val="0"/>
              </a:spcAft>
              <a:tabLst/>
              <a:defRPr sz="900" b="0" i="0" u="none" strike="noStrike" kern="1200" baseline="0">
                <a:solidFill>
                  <a:srgbClr val="595959"/>
                </a:solidFill>
                <a:latin typeface="Calibri"/>
              </a:defRPr>
            </a:pPr>
            <a:endParaRPr lang="en-US"/>
          </a:p>
        </c:txPr>
        <c:crossAx val="472574848"/>
        <c:crosses val="autoZero"/>
        <c:auto val="1"/>
        <c:lblAlgn val="ctr"/>
        <c:lblOffset val="100"/>
        <c:noMultiLvlLbl val="0"/>
      </c:catAx>
      <c:spPr>
        <a:noFill/>
        <a:ln>
          <a:noFill/>
        </a:ln>
      </c:spPr>
    </c:plotArea>
    <c:plotVisOnly val="1"/>
    <c:dispBlanksAs val="gap"/>
    <c:showDLblsOverMax val="0"/>
  </c:chart>
  <c:spPr>
    <a:solidFill>
      <a:srgbClr val="FFFFFF"/>
    </a:solidFill>
    <a:ln w="9528" cap="flat">
      <a:solidFill>
        <a:srgbClr val="D9D9D9"/>
      </a:solidFill>
      <a:prstDash val="solid"/>
      <a:round/>
    </a:ln>
  </c:spPr>
  <c:txPr>
    <a:bodyPr lIns="0" tIns="0" rIns="0" bIns="0"/>
    <a:lstStyle/>
    <a:p>
      <a:pPr marL="0" marR="0" indent="0" defTabSz="914400" fontAlgn="auto" hangingPunct="1">
        <a:lnSpc>
          <a:spcPct val="100000"/>
        </a:lnSpc>
        <a:spcBef>
          <a:spcPts val="0"/>
        </a:spcBef>
        <a:spcAft>
          <a:spcPts val="0"/>
        </a:spcAft>
        <a:tabLst/>
        <a:defRPr lang="en-US" sz="1000" b="0" i="0" u="none" strike="noStrike" kern="1200" baseline="0">
          <a:solidFill>
            <a:srgbClr val="000000"/>
          </a:solidFill>
          <a:latin typeface="Calibri"/>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2651</Words>
  <Characters>15117</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Gregory Ayres</dc:creator>
  <dc:description/>
  <cp:lastModifiedBy>Gregory Ayres</cp:lastModifiedBy>
  <cp:revision>2</cp:revision>
  <dcterms:created xsi:type="dcterms:W3CDTF">2021-06-17T07:38:00Z</dcterms:created>
  <dcterms:modified xsi:type="dcterms:W3CDTF">2021-06-17T07:38:00Z</dcterms:modified>
</cp:coreProperties>
</file>