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94AFD3" w14:textId="7902239B" w:rsidR="003D7888" w:rsidRDefault="003D7888" w:rsidP="003D7888">
      <w:pPr>
        <w:jc w:val="center"/>
        <w:rPr>
          <w:rFonts w:ascii="Times New Roman" w:hAnsi="Times New Roman" w:cs="Times New Roman"/>
          <w:sz w:val="40"/>
          <w:szCs w:val="40"/>
        </w:rPr>
      </w:pPr>
      <w:r>
        <w:rPr>
          <w:rFonts w:ascii="Times New Roman" w:hAnsi="Times New Roman" w:cs="Times New Roman"/>
          <w:sz w:val="40"/>
          <w:szCs w:val="40"/>
        </w:rPr>
        <w:t>From Farm to Finance</w:t>
      </w:r>
    </w:p>
    <w:p w14:paraId="0145E916" w14:textId="55423463" w:rsidR="003D7888" w:rsidRDefault="003D7888" w:rsidP="003D7888">
      <w:pPr>
        <w:jc w:val="right"/>
        <w:rPr>
          <w:b/>
          <w:bCs/>
        </w:rPr>
      </w:pPr>
      <w:r>
        <w:rPr>
          <w:rFonts w:ascii="Times New Roman" w:hAnsi="Times New Roman" w:cs="Times New Roman"/>
          <w:sz w:val="24"/>
          <w:szCs w:val="24"/>
        </w:rPr>
        <w:t>By: Gregory Ayres</w:t>
      </w:r>
      <w:r>
        <w:rPr>
          <w:rFonts w:ascii="Times New Roman" w:hAnsi="Times New Roman" w:cs="Times New Roman"/>
          <w:sz w:val="24"/>
          <w:szCs w:val="24"/>
        </w:rPr>
        <w:tab/>
      </w:r>
      <w:r>
        <w:rPr>
          <w:rFonts w:ascii="Times New Roman" w:hAnsi="Times New Roman" w:cs="Times New Roman"/>
          <w:sz w:val="24"/>
          <w:szCs w:val="24"/>
        </w:rPr>
        <w:tab/>
      </w:r>
      <w:hyperlink r:id="rId6" w:history="1">
        <w:r w:rsidRPr="00070AFC">
          <w:rPr>
            <w:rStyle w:val="Hyperlink"/>
            <w:b/>
            <w:bCs/>
          </w:rPr>
          <w:t>https://globalaffairswithgregayres.com/</w:t>
        </w:r>
      </w:hyperlink>
      <w:r>
        <w:rPr>
          <w:b/>
          <w:bCs/>
        </w:rPr>
        <w:tab/>
      </w:r>
      <w:r>
        <w:rPr>
          <w:b/>
          <w:bCs/>
        </w:rPr>
        <w:tab/>
        <w:t>7/1</w:t>
      </w:r>
      <w:r w:rsidR="00492079">
        <w:rPr>
          <w:b/>
          <w:bCs/>
        </w:rPr>
        <w:t>6</w:t>
      </w:r>
      <w:r>
        <w:rPr>
          <w:b/>
          <w:bCs/>
        </w:rPr>
        <w:t>/2021</w:t>
      </w:r>
    </w:p>
    <w:p w14:paraId="1756D4E1" w14:textId="79318012" w:rsidR="003D7888" w:rsidRDefault="003D7888" w:rsidP="003D7888">
      <w:pPr>
        <w:jc w:val="right"/>
        <w:rPr>
          <w:b/>
          <w:bCs/>
        </w:rPr>
      </w:pPr>
    </w:p>
    <w:p w14:paraId="7B0B258D" w14:textId="7A098FA2" w:rsidR="003D7888" w:rsidRPr="007E1CF1" w:rsidRDefault="003D7888" w:rsidP="007E1CF1">
      <w:pPr>
        <w:spacing w:line="276" w:lineRule="auto"/>
        <w:rPr>
          <w:rFonts w:ascii="Times New Roman" w:hAnsi="Times New Roman" w:cs="Times New Roman"/>
          <w:sz w:val="24"/>
          <w:szCs w:val="24"/>
        </w:rPr>
      </w:pPr>
      <w:r w:rsidRPr="007E1CF1">
        <w:rPr>
          <w:rFonts w:ascii="Times New Roman" w:hAnsi="Times New Roman" w:cs="Times New Roman"/>
          <w:sz w:val="24"/>
          <w:szCs w:val="24"/>
        </w:rPr>
        <w:t>The rising cost of food is evident everywhere we look</w:t>
      </w:r>
      <w:r w:rsidR="001B0D00">
        <w:rPr>
          <w:rFonts w:ascii="Times New Roman" w:hAnsi="Times New Roman" w:cs="Times New Roman"/>
          <w:sz w:val="24"/>
          <w:szCs w:val="24"/>
        </w:rPr>
        <w:t>, f</w:t>
      </w:r>
      <w:r w:rsidRPr="007E1CF1">
        <w:rPr>
          <w:rFonts w:ascii="Times New Roman" w:hAnsi="Times New Roman" w:cs="Times New Roman"/>
          <w:sz w:val="24"/>
          <w:szCs w:val="24"/>
        </w:rPr>
        <w:t>rom your neighborhood grocer to the nightly news. As consumers</w:t>
      </w:r>
      <w:r w:rsidR="001B0D00">
        <w:rPr>
          <w:rFonts w:ascii="Times New Roman" w:hAnsi="Times New Roman" w:cs="Times New Roman"/>
          <w:sz w:val="24"/>
          <w:szCs w:val="24"/>
        </w:rPr>
        <w:t>,</w:t>
      </w:r>
      <w:r w:rsidRPr="007E1CF1">
        <w:rPr>
          <w:rFonts w:ascii="Times New Roman" w:hAnsi="Times New Roman" w:cs="Times New Roman"/>
          <w:sz w:val="24"/>
          <w:szCs w:val="24"/>
        </w:rPr>
        <w:t xml:space="preserve"> we are highly attuned to food prices</w:t>
      </w:r>
      <w:r w:rsidR="001B0D00">
        <w:rPr>
          <w:rFonts w:ascii="Times New Roman" w:hAnsi="Times New Roman" w:cs="Times New Roman"/>
          <w:sz w:val="24"/>
          <w:szCs w:val="24"/>
        </w:rPr>
        <w:t>;</w:t>
      </w:r>
      <w:r w:rsidRPr="007E1CF1">
        <w:rPr>
          <w:rFonts w:ascii="Times New Roman" w:hAnsi="Times New Roman" w:cs="Times New Roman"/>
          <w:sz w:val="24"/>
          <w:szCs w:val="24"/>
        </w:rPr>
        <w:t xml:space="preserve"> we purchase staple items regularly</w:t>
      </w:r>
      <w:r w:rsidR="001B0D00">
        <w:rPr>
          <w:rFonts w:ascii="Times New Roman" w:hAnsi="Times New Roman" w:cs="Times New Roman"/>
          <w:sz w:val="24"/>
          <w:szCs w:val="24"/>
        </w:rPr>
        <w:t>,</w:t>
      </w:r>
      <w:r w:rsidRPr="007E1CF1">
        <w:rPr>
          <w:rFonts w:ascii="Times New Roman" w:hAnsi="Times New Roman" w:cs="Times New Roman"/>
          <w:sz w:val="24"/>
          <w:szCs w:val="24"/>
        </w:rPr>
        <w:t xml:space="preserve"> and the abundant options keep us attentive to prices. Particularly</w:t>
      </w:r>
      <w:r w:rsidR="001B0D00">
        <w:rPr>
          <w:rFonts w:ascii="Times New Roman" w:hAnsi="Times New Roman" w:cs="Times New Roman"/>
          <w:sz w:val="24"/>
          <w:szCs w:val="24"/>
        </w:rPr>
        <w:t>,</w:t>
      </w:r>
      <w:r w:rsidRPr="007E1CF1">
        <w:rPr>
          <w:rFonts w:ascii="Times New Roman" w:hAnsi="Times New Roman" w:cs="Times New Roman"/>
          <w:sz w:val="24"/>
          <w:szCs w:val="24"/>
        </w:rPr>
        <w:t xml:space="preserve"> following </w:t>
      </w:r>
      <w:r w:rsidR="00BD4102" w:rsidRPr="007E1CF1">
        <w:rPr>
          <w:rFonts w:ascii="Times New Roman" w:hAnsi="Times New Roman" w:cs="Times New Roman"/>
          <w:sz w:val="24"/>
          <w:szCs w:val="24"/>
        </w:rPr>
        <w:t>the outbreak of the Covid-19 pandemic</w:t>
      </w:r>
      <w:r w:rsidR="001B0D00">
        <w:rPr>
          <w:rFonts w:ascii="Times New Roman" w:hAnsi="Times New Roman" w:cs="Times New Roman"/>
          <w:sz w:val="24"/>
          <w:szCs w:val="24"/>
        </w:rPr>
        <w:t>,</w:t>
      </w:r>
      <w:r w:rsidR="00BD4102" w:rsidRPr="007E1CF1">
        <w:rPr>
          <w:rFonts w:ascii="Times New Roman" w:hAnsi="Times New Roman" w:cs="Times New Roman"/>
          <w:sz w:val="24"/>
          <w:szCs w:val="24"/>
        </w:rPr>
        <w:t xml:space="preserve"> and subsequent economic responses</w:t>
      </w:r>
      <w:r w:rsidR="001B0D00">
        <w:rPr>
          <w:rFonts w:ascii="Times New Roman" w:hAnsi="Times New Roman" w:cs="Times New Roman"/>
          <w:sz w:val="24"/>
          <w:szCs w:val="24"/>
        </w:rPr>
        <w:t>,</w:t>
      </w:r>
      <w:r w:rsidR="00BD4102" w:rsidRPr="007E1CF1">
        <w:rPr>
          <w:rFonts w:ascii="Times New Roman" w:hAnsi="Times New Roman" w:cs="Times New Roman"/>
          <w:sz w:val="24"/>
          <w:szCs w:val="24"/>
        </w:rPr>
        <w:t xml:space="preserve"> the prices for staple food items ha</w:t>
      </w:r>
      <w:r w:rsidR="001B0D00">
        <w:rPr>
          <w:rFonts w:ascii="Times New Roman" w:hAnsi="Times New Roman" w:cs="Times New Roman"/>
          <w:sz w:val="24"/>
          <w:szCs w:val="24"/>
        </w:rPr>
        <w:t>s</w:t>
      </w:r>
      <w:r w:rsidR="00BD4102" w:rsidRPr="007E1CF1">
        <w:rPr>
          <w:rFonts w:ascii="Times New Roman" w:hAnsi="Times New Roman" w:cs="Times New Roman"/>
          <w:sz w:val="24"/>
          <w:szCs w:val="24"/>
        </w:rPr>
        <w:t xml:space="preserve"> grown greatly. This presents a dilemma for consumers</w:t>
      </w:r>
      <w:r w:rsidR="001B0D00">
        <w:rPr>
          <w:rFonts w:ascii="Times New Roman" w:hAnsi="Times New Roman" w:cs="Times New Roman"/>
          <w:sz w:val="24"/>
          <w:szCs w:val="24"/>
        </w:rPr>
        <w:t>,</w:t>
      </w:r>
      <w:r w:rsidR="00BD4102" w:rsidRPr="007E1CF1">
        <w:rPr>
          <w:rFonts w:ascii="Times New Roman" w:hAnsi="Times New Roman" w:cs="Times New Roman"/>
          <w:sz w:val="24"/>
          <w:szCs w:val="24"/>
        </w:rPr>
        <w:t xml:space="preserve"> but a potential boon for producers and food exporting nations. An examination of 6 major agricultural commodities demonstrates their outsized growth in comparison to</w:t>
      </w:r>
      <w:r w:rsidR="001B0D00">
        <w:rPr>
          <w:rFonts w:ascii="Times New Roman" w:hAnsi="Times New Roman" w:cs="Times New Roman"/>
          <w:sz w:val="24"/>
          <w:szCs w:val="24"/>
        </w:rPr>
        <w:t xml:space="preserve"> the</w:t>
      </w:r>
      <w:r w:rsidR="00BD4102" w:rsidRPr="007E1CF1">
        <w:rPr>
          <w:rFonts w:ascii="Times New Roman" w:hAnsi="Times New Roman" w:cs="Times New Roman"/>
          <w:sz w:val="24"/>
          <w:szCs w:val="24"/>
        </w:rPr>
        <w:t xml:space="preserve"> Consumer Price Index (CPI)</w:t>
      </w:r>
      <w:r w:rsidR="001B0D00">
        <w:rPr>
          <w:rFonts w:ascii="Times New Roman" w:hAnsi="Times New Roman" w:cs="Times New Roman"/>
          <w:sz w:val="24"/>
          <w:szCs w:val="24"/>
        </w:rPr>
        <w:t>, a standard measure of</w:t>
      </w:r>
      <w:r w:rsidR="00BD4102" w:rsidRPr="007E1CF1">
        <w:rPr>
          <w:rFonts w:ascii="Times New Roman" w:hAnsi="Times New Roman" w:cs="Times New Roman"/>
          <w:sz w:val="24"/>
          <w:szCs w:val="24"/>
        </w:rPr>
        <w:t xml:space="preserve"> inflation. </w:t>
      </w:r>
    </w:p>
    <w:p w14:paraId="4955DCB4" w14:textId="5B599111" w:rsidR="00BD4102" w:rsidRPr="003D7888" w:rsidRDefault="00BD4102" w:rsidP="003D7888">
      <w:r>
        <w:rPr>
          <w:noProof/>
        </w:rPr>
        <w:drawing>
          <wp:inline distT="0" distB="0" distL="0" distR="0" wp14:anchorId="161F26F3" wp14:editId="00FDD477">
            <wp:extent cx="6301740" cy="3870960"/>
            <wp:effectExtent l="0" t="0" r="3810" b="15240"/>
            <wp:docPr id="1" name="Chart 1">
              <a:extLst xmlns:a="http://schemas.openxmlformats.org/drawingml/2006/main">
                <a:ext uri="{FF2B5EF4-FFF2-40B4-BE49-F238E27FC236}">
                  <a16:creationId xmlns:a16="http://schemas.microsoft.com/office/drawing/2014/main" id="{C1DE1FF5-49E7-4327-87F1-E00F93C0A1F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73DE66B5" w14:textId="04F99387" w:rsidR="003D7888" w:rsidRPr="00AC3A7A" w:rsidRDefault="00C02731" w:rsidP="00BD4102">
      <w:pPr>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Who </w:t>
      </w:r>
      <w:r w:rsidR="007C3D3B">
        <w:rPr>
          <w:rFonts w:ascii="Times New Roman" w:hAnsi="Times New Roman" w:cs="Times New Roman"/>
          <w:b/>
          <w:bCs/>
          <w:sz w:val="24"/>
          <w:szCs w:val="24"/>
          <w:u w:val="single"/>
        </w:rPr>
        <w:t>&amp; How</w:t>
      </w:r>
      <w:r>
        <w:rPr>
          <w:rFonts w:ascii="Times New Roman" w:hAnsi="Times New Roman" w:cs="Times New Roman"/>
          <w:b/>
          <w:bCs/>
          <w:sz w:val="24"/>
          <w:szCs w:val="24"/>
          <w:u w:val="single"/>
        </w:rPr>
        <w:t xml:space="preserve"> to Benefit?</w:t>
      </w:r>
    </w:p>
    <w:p w14:paraId="4DF4B541" w14:textId="49CCB485" w:rsidR="007E1CF1" w:rsidRDefault="00BD4102" w:rsidP="007E1CF1">
      <w:pPr>
        <w:spacing w:line="276" w:lineRule="auto"/>
        <w:rPr>
          <w:rFonts w:ascii="Times New Roman" w:hAnsi="Times New Roman" w:cs="Times New Roman"/>
          <w:sz w:val="24"/>
          <w:szCs w:val="24"/>
        </w:rPr>
      </w:pPr>
      <w:r w:rsidRPr="007E1CF1">
        <w:rPr>
          <w:rFonts w:ascii="Times New Roman" w:hAnsi="Times New Roman" w:cs="Times New Roman"/>
          <w:sz w:val="24"/>
          <w:szCs w:val="24"/>
        </w:rPr>
        <w:t>Taking data from June 16</w:t>
      </w:r>
      <w:r w:rsidRPr="007E1CF1">
        <w:rPr>
          <w:rFonts w:ascii="Times New Roman" w:hAnsi="Times New Roman" w:cs="Times New Roman"/>
          <w:sz w:val="24"/>
          <w:szCs w:val="24"/>
          <w:vertAlign w:val="superscript"/>
        </w:rPr>
        <w:t>th</w:t>
      </w:r>
      <w:r w:rsidRPr="007E1CF1">
        <w:rPr>
          <w:rFonts w:ascii="Times New Roman" w:hAnsi="Times New Roman" w:cs="Times New Roman"/>
          <w:sz w:val="24"/>
          <w:szCs w:val="24"/>
        </w:rPr>
        <w:t>, 2019 and 2021, price increases were calculated for commodities</w:t>
      </w:r>
      <w:r w:rsidR="001B0D00">
        <w:rPr>
          <w:rFonts w:ascii="Times New Roman" w:hAnsi="Times New Roman" w:cs="Times New Roman"/>
          <w:sz w:val="24"/>
          <w:szCs w:val="24"/>
        </w:rPr>
        <w:t>,</w:t>
      </w:r>
      <w:r w:rsidRPr="007E1CF1">
        <w:rPr>
          <w:rFonts w:ascii="Times New Roman" w:hAnsi="Times New Roman" w:cs="Times New Roman"/>
          <w:sz w:val="24"/>
          <w:szCs w:val="24"/>
        </w:rPr>
        <w:t xml:space="preserve"> and compared to the 6.27% inflation recorded in the CPI over the same time period. Agricultural commodity prices have risen across the board</w:t>
      </w:r>
      <w:r w:rsidR="001B0D00">
        <w:rPr>
          <w:rFonts w:ascii="Times New Roman" w:hAnsi="Times New Roman" w:cs="Times New Roman"/>
          <w:sz w:val="24"/>
          <w:szCs w:val="24"/>
        </w:rPr>
        <w:t>,</w:t>
      </w:r>
      <w:r w:rsidRPr="007E1CF1">
        <w:rPr>
          <w:rFonts w:ascii="Times New Roman" w:hAnsi="Times New Roman" w:cs="Times New Roman"/>
          <w:sz w:val="24"/>
          <w:szCs w:val="24"/>
        </w:rPr>
        <w:t xml:space="preserve"> and far exceeded CPI measured inflation. These price increases represent increased cost</w:t>
      </w:r>
      <w:r w:rsidR="001B0D00">
        <w:rPr>
          <w:rFonts w:ascii="Times New Roman" w:hAnsi="Times New Roman" w:cs="Times New Roman"/>
          <w:sz w:val="24"/>
          <w:szCs w:val="24"/>
        </w:rPr>
        <w:t>s</w:t>
      </w:r>
      <w:r w:rsidRPr="007E1CF1">
        <w:rPr>
          <w:rFonts w:ascii="Times New Roman" w:hAnsi="Times New Roman" w:cs="Times New Roman"/>
          <w:sz w:val="24"/>
          <w:szCs w:val="24"/>
        </w:rPr>
        <w:t xml:space="preserve"> for consumers</w:t>
      </w:r>
      <w:r w:rsidR="001B0D00">
        <w:rPr>
          <w:rFonts w:ascii="Times New Roman" w:hAnsi="Times New Roman" w:cs="Times New Roman"/>
          <w:sz w:val="24"/>
          <w:szCs w:val="24"/>
        </w:rPr>
        <w:t>,</w:t>
      </w:r>
      <w:r w:rsidRPr="007E1CF1">
        <w:rPr>
          <w:rFonts w:ascii="Times New Roman" w:hAnsi="Times New Roman" w:cs="Times New Roman"/>
          <w:sz w:val="24"/>
          <w:szCs w:val="24"/>
        </w:rPr>
        <w:t xml:space="preserve"> but potentially increased profits for farmers.  An examination of agricultural commodity exporters can identify the top beneficiaries of these outsized price changes.</w:t>
      </w:r>
    </w:p>
    <w:p w14:paraId="7D6F9D2E" w14:textId="222AE4A2" w:rsidR="007E1CF1" w:rsidRDefault="007E1CF1" w:rsidP="007E1CF1">
      <w:pPr>
        <w:spacing w:line="276" w:lineRule="auto"/>
        <w:rPr>
          <w:rFonts w:ascii="Times New Roman" w:hAnsi="Times New Roman" w:cs="Times New Roman"/>
          <w:sz w:val="24"/>
          <w:szCs w:val="24"/>
        </w:rPr>
      </w:pPr>
      <w:r>
        <w:rPr>
          <w:rFonts w:ascii="Times New Roman" w:hAnsi="Times New Roman" w:cs="Times New Roman"/>
          <w:sz w:val="24"/>
          <w:szCs w:val="24"/>
        </w:rPr>
        <w:lastRenderedPageBreak/>
        <w:t>Exporting high levels of increasingly profitable agricultural commodities in 2020 necessitated not only the continuation of a successful agricultural sector</w:t>
      </w:r>
      <w:r w:rsidR="001B0D00">
        <w:rPr>
          <w:rFonts w:ascii="Times New Roman" w:hAnsi="Times New Roman" w:cs="Times New Roman"/>
          <w:sz w:val="24"/>
          <w:szCs w:val="24"/>
        </w:rPr>
        <w:t>,</w:t>
      </w:r>
      <w:r>
        <w:rPr>
          <w:rFonts w:ascii="Times New Roman" w:hAnsi="Times New Roman" w:cs="Times New Roman"/>
          <w:sz w:val="24"/>
          <w:szCs w:val="24"/>
        </w:rPr>
        <w:t xml:space="preserve"> but also effective government policy for combatting Covid-19. National responses varied greatly, and</w:t>
      </w:r>
      <w:r w:rsidR="001B0D00">
        <w:rPr>
          <w:rFonts w:ascii="Times New Roman" w:hAnsi="Times New Roman" w:cs="Times New Roman"/>
          <w:sz w:val="24"/>
          <w:szCs w:val="24"/>
        </w:rPr>
        <w:t xml:space="preserve"> successful Covid-19 policies and responses were</w:t>
      </w:r>
      <w:r>
        <w:rPr>
          <w:rFonts w:ascii="Times New Roman" w:hAnsi="Times New Roman" w:cs="Times New Roman"/>
          <w:sz w:val="24"/>
          <w:szCs w:val="24"/>
        </w:rPr>
        <w:t xml:space="preserve"> vital for the continued operation of the agricultural sector</w:t>
      </w:r>
      <w:r w:rsidR="001B0D00">
        <w:rPr>
          <w:rFonts w:ascii="Times New Roman" w:hAnsi="Times New Roman" w:cs="Times New Roman"/>
          <w:sz w:val="24"/>
          <w:szCs w:val="24"/>
        </w:rPr>
        <w:t>,</w:t>
      </w:r>
      <w:r>
        <w:rPr>
          <w:rFonts w:ascii="Times New Roman" w:hAnsi="Times New Roman" w:cs="Times New Roman"/>
          <w:sz w:val="24"/>
          <w:szCs w:val="24"/>
        </w:rPr>
        <w:t xml:space="preserve"> and related industries. Successful government responses provided for the continued and reliable access to industrial equipment, labor, chemicals and fertilizers when feasible. </w:t>
      </w:r>
    </w:p>
    <w:p w14:paraId="78DC73F4" w14:textId="21EC01F2" w:rsidR="007E1CF1" w:rsidRDefault="007E1CF1" w:rsidP="007E1CF1">
      <w:pPr>
        <w:spacing w:line="276" w:lineRule="auto"/>
        <w:rPr>
          <w:rFonts w:ascii="Times New Roman" w:hAnsi="Times New Roman" w:cs="Times New Roman"/>
          <w:sz w:val="24"/>
          <w:szCs w:val="24"/>
        </w:rPr>
      </w:pPr>
      <w:r>
        <w:rPr>
          <w:rFonts w:ascii="Times New Roman" w:hAnsi="Times New Roman" w:cs="Times New Roman"/>
          <w:sz w:val="24"/>
          <w:szCs w:val="24"/>
        </w:rPr>
        <w:t>The most territorially expansive nations hold a distinct advantage in agriculture, though the presence of high-quality arable land is equally important.</w:t>
      </w:r>
      <w:r w:rsidR="0028286E">
        <w:rPr>
          <w:rFonts w:ascii="Times New Roman" w:hAnsi="Times New Roman" w:cs="Times New Roman"/>
          <w:sz w:val="24"/>
          <w:szCs w:val="24"/>
        </w:rPr>
        <w:t xml:space="preserve"> Technologically innovative farming techniques</w:t>
      </w:r>
      <w:r w:rsidR="00AC3A7A">
        <w:rPr>
          <w:rFonts w:ascii="Times New Roman" w:hAnsi="Times New Roman" w:cs="Times New Roman"/>
          <w:sz w:val="24"/>
          <w:szCs w:val="24"/>
        </w:rPr>
        <w:t>,</w:t>
      </w:r>
      <w:r w:rsidR="0028286E">
        <w:rPr>
          <w:rFonts w:ascii="Times New Roman" w:hAnsi="Times New Roman" w:cs="Times New Roman"/>
          <w:sz w:val="24"/>
          <w:szCs w:val="24"/>
        </w:rPr>
        <w:t xml:space="preserve"> and a shift to</w:t>
      </w:r>
      <w:r w:rsidR="00AC3A7A">
        <w:rPr>
          <w:rFonts w:ascii="Times New Roman" w:hAnsi="Times New Roman" w:cs="Times New Roman"/>
          <w:sz w:val="24"/>
          <w:szCs w:val="24"/>
        </w:rPr>
        <w:t xml:space="preserve"> both</w:t>
      </w:r>
      <w:r w:rsidR="0028286E">
        <w:rPr>
          <w:rFonts w:ascii="Times New Roman" w:hAnsi="Times New Roman" w:cs="Times New Roman"/>
          <w:sz w:val="24"/>
          <w:szCs w:val="24"/>
        </w:rPr>
        <w:t xml:space="preserve"> higher quality and upmarket products</w:t>
      </w:r>
      <w:r w:rsidR="00AC3A7A">
        <w:rPr>
          <w:rFonts w:ascii="Times New Roman" w:hAnsi="Times New Roman" w:cs="Times New Roman"/>
          <w:sz w:val="24"/>
          <w:szCs w:val="24"/>
        </w:rPr>
        <w:t>,</w:t>
      </w:r>
      <w:r w:rsidR="0028286E">
        <w:rPr>
          <w:rFonts w:ascii="Times New Roman" w:hAnsi="Times New Roman" w:cs="Times New Roman"/>
          <w:sz w:val="24"/>
          <w:szCs w:val="24"/>
        </w:rPr>
        <w:t xml:space="preserve"> have allowed smaller nations to build robust export networks</w:t>
      </w:r>
      <w:r w:rsidR="001B0D00">
        <w:rPr>
          <w:rFonts w:ascii="Times New Roman" w:hAnsi="Times New Roman" w:cs="Times New Roman"/>
          <w:sz w:val="24"/>
          <w:szCs w:val="24"/>
        </w:rPr>
        <w:t>.</w:t>
      </w:r>
      <w:r w:rsidR="0028286E">
        <w:rPr>
          <w:rFonts w:ascii="Times New Roman" w:hAnsi="Times New Roman" w:cs="Times New Roman"/>
          <w:sz w:val="24"/>
          <w:szCs w:val="24"/>
        </w:rPr>
        <w:t xml:space="preserve"> </w:t>
      </w:r>
    </w:p>
    <w:p w14:paraId="1A08386F" w14:textId="6C231C40" w:rsidR="007E1CF1" w:rsidRPr="00AC3A7A" w:rsidRDefault="0028286E" w:rsidP="00AC3A7A">
      <w:pPr>
        <w:spacing w:line="276" w:lineRule="auto"/>
        <w:jc w:val="center"/>
        <w:rPr>
          <w:rFonts w:ascii="Times New Roman" w:hAnsi="Times New Roman" w:cs="Times New Roman"/>
          <w:sz w:val="24"/>
          <w:szCs w:val="24"/>
        </w:rPr>
      </w:pPr>
      <w:r>
        <w:rPr>
          <w:noProof/>
        </w:rPr>
        <w:drawing>
          <wp:inline distT="0" distB="0" distL="0" distR="0" wp14:anchorId="6182B870" wp14:editId="597059BD">
            <wp:extent cx="5250180" cy="2827020"/>
            <wp:effectExtent l="0" t="0" r="7620" b="11430"/>
            <wp:docPr id="2" name="Chart 2">
              <a:extLst xmlns:a="http://schemas.openxmlformats.org/drawingml/2006/main">
                <a:ext uri="{FF2B5EF4-FFF2-40B4-BE49-F238E27FC236}">
                  <a16:creationId xmlns:a16="http://schemas.microsoft.com/office/drawing/2014/main" id="{7AA398CC-E684-480D-BEDE-4DFDCACC41A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5123D8C6" w14:textId="2E8A7439" w:rsidR="00AC3A7A" w:rsidRPr="00AC3A7A" w:rsidRDefault="00AC3A7A" w:rsidP="00BD4102">
      <w:pPr>
        <w:rPr>
          <w:rFonts w:ascii="Times New Roman" w:hAnsi="Times New Roman" w:cs="Times New Roman"/>
          <w:sz w:val="24"/>
          <w:szCs w:val="24"/>
        </w:rPr>
      </w:pPr>
      <w:r>
        <w:rPr>
          <w:rFonts w:ascii="Times New Roman" w:hAnsi="Times New Roman" w:cs="Times New Roman"/>
          <w:b/>
          <w:bCs/>
          <w:sz w:val="24"/>
          <w:szCs w:val="24"/>
          <w:u w:val="single"/>
        </w:rPr>
        <w:t>Population and Innovation</w:t>
      </w:r>
    </w:p>
    <w:p w14:paraId="31666F34" w14:textId="7B432C9C" w:rsidR="00285839" w:rsidRPr="00AC3A7A" w:rsidRDefault="00AC3A7A" w:rsidP="00BD4102">
      <w:pPr>
        <w:rPr>
          <w:rFonts w:ascii="Times New Roman" w:hAnsi="Times New Roman" w:cs="Times New Roman"/>
          <w:sz w:val="24"/>
          <w:szCs w:val="24"/>
        </w:rPr>
      </w:pPr>
      <w:r w:rsidRPr="00AC3A7A">
        <w:rPr>
          <w:rFonts w:ascii="Times New Roman" w:hAnsi="Times New Roman" w:cs="Times New Roman"/>
          <w:noProof/>
          <w:sz w:val="24"/>
          <w:szCs w:val="24"/>
        </w:rPr>
        <mc:AlternateContent>
          <mc:Choice Requires="wps">
            <w:drawing>
              <wp:anchor distT="45720" distB="45720" distL="114300" distR="114300" simplePos="0" relativeHeight="251665408" behindDoc="0" locked="0" layoutInCell="1" allowOverlap="1" wp14:anchorId="52C94C9C" wp14:editId="53889A02">
                <wp:simplePos x="0" y="0"/>
                <wp:positionH relativeFrom="column">
                  <wp:posOffset>4076700</wp:posOffset>
                </wp:positionH>
                <wp:positionV relativeFrom="paragraph">
                  <wp:posOffset>1029335</wp:posOffset>
                </wp:positionV>
                <wp:extent cx="2327910" cy="14249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7910" cy="1424940"/>
                        </a:xfrm>
                        <a:prstGeom prst="rect">
                          <a:avLst/>
                        </a:prstGeom>
                        <a:solidFill>
                          <a:srgbClr val="FFFFFF"/>
                        </a:solidFill>
                        <a:ln w="9525">
                          <a:noFill/>
                          <a:miter lim="800000"/>
                          <a:headEnd/>
                          <a:tailEnd/>
                        </a:ln>
                      </wps:spPr>
                      <wps:txbx>
                        <w:txbxContent>
                          <w:p w14:paraId="775C8D63" w14:textId="71946FBE" w:rsidR="00AC3A7A" w:rsidRDefault="00AC3A7A">
                            <w:r>
                              <w:rPr>
                                <w:noProof/>
                              </w:rPr>
                              <w:drawing>
                                <wp:inline distT="0" distB="0" distL="0" distR="0" wp14:anchorId="668FB1C6" wp14:editId="2C24EB56">
                                  <wp:extent cx="2136140" cy="1308859"/>
                                  <wp:effectExtent l="0" t="0" r="0" b="5715"/>
                                  <wp:docPr id="9" name="Picture 9" descr="Could high-tech Netherlands-style farming feed the world? | Global Ideas |  DW | 23.01.2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uld high-tech Netherlands-style farming feed the world? | Global Ideas |  DW | 23.01.201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36140" cy="1308859"/>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2C94C9C" id="_x0000_t202" coordsize="21600,21600" o:spt="202" path="m,l,21600r21600,l21600,xe">
                <v:stroke joinstyle="miter"/>
                <v:path gradientshapeok="t" o:connecttype="rect"/>
              </v:shapetype>
              <v:shape id="Text Box 2" o:spid="_x0000_s1026" type="#_x0000_t202" style="position:absolute;margin-left:321pt;margin-top:81.05pt;width:183.3pt;height:112.2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" stroked="f">
                <v:textbox>
                  <w:txbxContent>
                    <w:p w14:paraId="775C8D63" w14:textId="71946FBE" w:rsidR="00AC3A7A" w:rsidRDefault="00AC3A7A">
                      <w:r>
                        <w:rPr>
                          <w:noProof/>
                        </w:rPr>
                        <w:drawing>
                          <wp:inline distT="0" distB="0" distL="0" distR="0" wp14:anchorId="668FB1C6" wp14:editId="2C24EB56">
                            <wp:extent cx="2136140" cy="1308859"/>
                            <wp:effectExtent l="0" t="0" r="0" b="5715"/>
                            <wp:docPr id="9" name="Picture 9" descr="Could high-tech Netherlands-style farming feed the world? | Global Ideas |  DW | 23.01.2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uld high-tech Netherlands-style farming feed the world? | Global Ideas |  DW | 23.01.201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36140" cy="1308859"/>
                                    </a:xfrm>
                                    <a:prstGeom prst="rect">
                                      <a:avLst/>
                                    </a:prstGeom>
                                    <a:noFill/>
                                    <a:ln>
                                      <a:noFill/>
                                    </a:ln>
                                  </pic:spPr>
                                </pic:pic>
                              </a:graphicData>
                            </a:graphic>
                          </wp:inline>
                        </w:drawing>
                      </w:r>
                    </w:p>
                  </w:txbxContent>
                </v:textbox>
                <w10:wrap type="square"/>
              </v:shape>
            </w:pict>
          </mc:Fallback>
        </mc:AlternateContent>
      </w:r>
      <w:r w:rsidRPr="00AC3A7A">
        <w:rPr>
          <w:rFonts w:ascii="Times New Roman" w:hAnsi="Times New Roman" w:cs="Times New Roman"/>
          <w:noProof/>
          <w:sz w:val="24"/>
          <w:szCs w:val="24"/>
        </w:rPr>
        <mc:AlternateContent>
          <mc:Choice Requires="wps">
            <w:drawing>
              <wp:anchor distT="45720" distB="45720" distL="114300" distR="114300" simplePos="0" relativeHeight="251663360" behindDoc="0" locked="0" layoutInCell="1" allowOverlap="1" wp14:anchorId="100E042E" wp14:editId="01788DDA">
                <wp:simplePos x="0" y="0"/>
                <wp:positionH relativeFrom="column">
                  <wp:posOffset>2171700</wp:posOffset>
                </wp:positionH>
                <wp:positionV relativeFrom="paragraph">
                  <wp:posOffset>1036955</wp:posOffset>
                </wp:positionV>
                <wp:extent cx="1813560" cy="1409700"/>
                <wp:effectExtent l="0" t="0" r="15240" b="1905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3560" cy="1409700"/>
                        </a:xfrm>
                        <a:prstGeom prst="rect">
                          <a:avLst/>
                        </a:prstGeom>
                        <a:solidFill>
                          <a:srgbClr val="FFFFFF"/>
                        </a:solidFill>
                        <a:ln w="9525">
                          <a:solidFill>
                            <a:schemeClr val="tx1"/>
                          </a:solidFill>
                          <a:miter lim="800000"/>
                          <a:headEnd/>
                          <a:tailEnd/>
                        </a:ln>
                      </wps:spPr>
                      <wps:txbx>
                        <w:txbxContent>
                          <w:p w14:paraId="22822952" w14:textId="77777777" w:rsidR="00285839" w:rsidRPr="007C3D3B" w:rsidRDefault="00285839" w:rsidP="00285839">
                            <w:pPr>
                              <w:rPr>
                                <w:rFonts w:ascii="Times New Roman" w:hAnsi="Times New Roman" w:cs="Times New Roman"/>
                                <w:sz w:val="24"/>
                                <w:szCs w:val="24"/>
                              </w:rPr>
                            </w:pPr>
                            <w:r w:rsidRPr="007C3D3B">
                              <w:rPr>
                                <w:rFonts w:ascii="Times New Roman" w:hAnsi="Times New Roman" w:cs="Times New Roman"/>
                                <w:sz w:val="24"/>
                                <w:szCs w:val="24"/>
                              </w:rPr>
                              <w:t>Vertical farming techniques and innovations in water management contribute to the Netherlands export dominance.</w:t>
                            </w:r>
                          </w:p>
                          <w:p w14:paraId="622F10B2" w14:textId="41E5B739" w:rsidR="00285839" w:rsidRDefault="0028583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0E042E" id="_x0000_s1027" type="#_x0000_t202" style="position:absolute;margin-left:171pt;margin-top:81.65pt;width:142.8pt;height:111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" strokecolor="black [3213]">
                <v:textbox>
                  <w:txbxContent>
                    <w:p w14:paraId="22822952" w14:textId="77777777" w:rsidR="00285839" w:rsidRPr="007C3D3B" w:rsidRDefault="00285839" w:rsidP="00285839">
                      <w:pPr>
                        <w:rPr>
                          <w:rFonts w:ascii="Times New Roman" w:hAnsi="Times New Roman" w:cs="Times New Roman"/>
                          <w:sz w:val="24"/>
                          <w:szCs w:val="24"/>
                        </w:rPr>
                      </w:pPr>
                      <w:r w:rsidRPr="007C3D3B">
                        <w:rPr>
                          <w:rFonts w:ascii="Times New Roman" w:hAnsi="Times New Roman" w:cs="Times New Roman"/>
                          <w:sz w:val="24"/>
                          <w:szCs w:val="24"/>
                        </w:rPr>
                        <w:t>Vertical farming techniques and innovations in water management contribute to the Netherlands export dominance.</w:t>
                      </w:r>
                    </w:p>
                    <w:p w14:paraId="622F10B2" w14:textId="41E5B739" w:rsidR="00285839" w:rsidRDefault="00285839"/>
                  </w:txbxContent>
                </v:textbox>
                <w10:wrap type="square"/>
              </v:shape>
            </w:pict>
          </mc:Fallback>
        </mc:AlternateContent>
      </w:r>
      <w:r w:rsidR="00285839" w:rsidRPr="00AC3A7A">
        <w:rPr>
          <w:rFonts w:ascii="Times New Roman" w:hAnsi="Times New Roman" w:cs="Times New Roman"/>
          <w:noProof/>
          <w:sz w:val="24"/>
          <w:szCs w:val="24"/>
        </w:rPr>
        <mc:AlternateContent>
          <mc:Choice Requires="wps">
            <w:drawing>
              <wp:anchor distT="45720" distB="45720" distL="114300" distR="114300" simplePos="0" relativeHeight="251661312" behindDoc="0" locked="0" layoutInCell="1" allowOverlap="1" wp14:anchorId="64D81DE0" wp14:editId="457625E5">
                <wp:simplePos x="0" y="0"/>
                <wp:positionH relativeFrom="column">
                  <wp:posOffset>-213360</wp:posOffset>
                </wp:positionH>
                <wp:positionV relativeFrom="paragraph">
                  <wp:posOffset>1010920</wp:posOffset>
                </wp:positionV>
                <wp:extent cx="6819900" cy="1470660"/>
                <wp:effectExtent l="0" t="0" r="0" b="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1470660"/>
                        </a:xfrm>
                        <a:prstGeom prst="rect">
                          <a:avLst/>
                        </a:prstGeom>
                        <a:solidFill>
                          <a:srgbClr val="FFFFFF"/>
                        </a:solidFill>
                        <a:ln w="9525">
                          <a:noFill/>
                          <a:miter lim="800000"/>
                          <a:headEnd/>
                          <a:tailEnd/>
                        </a:ln>
                      </wps:spPr>
                      <wps:txbx>
                        <w:txbxContent>
                          <w:p w14:paraId="38A99FE5" w14:textId="67E39D54" w:rsidR="00285839" w:rsidRDefault="00285839">
                            <w:r>
                              <w:rPr>
                                <w:noProof/>
                              </w:rPr>
                              <w:drawing>
                                <wp:inline distT="0" distB="0" distL="0" distR="0" wp14:anchorId="22178412" wp14:editId="3E4B75C8">
                                  <wp:extent cx="2233295" cy="1539143"/>
                                  <wp:effectExtent l="0" t="0" r="0" b="4445"/>
                                  <wp:docPr id="5" name="Picture 5" descr="Government funded research - The Netherlands - High Tech Agriculture | im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overnment funded research - The Netherlands - High Tech Agriculture | imec"/>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48336" cy="1549509"/>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D81DE0" id="_x0000_s1028" type="#_x0000_t202" style="position:absolute;margin-left:-16.8pt;margin-top:79.6pt;width:537pt;height:115.8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" stroked="f">
                <v:textbox>
                  <w:txbxContent>
                    <w:p w14:paraId="38A99FE5" w14:textId="67E39D54" w:rsidR="00285839" w:rsidRDefault="00285839">
                      <w:r>
                        <w:rPr>
                          <w:noProof/>
                        </w:rPr>
                        <w:drawing>
                          <wp:inline distT="0" distB="0" distL="0" distR="0" wp14:anchorId="22178412" wp14:editId="3E4B75C8">
                            <wp:extent cx="2233295" cy="1539143"/>
                            <wp:effectExtent l="0" t="0" r="0" b="4445"/>
                            <wp:docPr id="5" name="Picture 5" descr="Government funded research - The Netherlands - High Tech Agriculture | im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overnment funded research - The Netherlands - High Tech Agriculture | imec"/>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48336" cy="1549509"/>
                                    </a:xfrm>
                                    <a:prstGeom prst="rect">
                                      <a:avLst/>
                                    </a:prstGeom>
                                    <a:noFill/>
                                    <a:ln>
                                      <a:noFill/>
                                    </a:ln>
                                  </pic:spPr>
                                </pic:pic>
                              </a:graphicData>
                            </a:graphic>
                          </wp:inline>
                        </w:drawing>
                      </w:r>
                    </w:p>
                  </w:txbxContent>
                </v:textbox>
                <w10:wrap type="square"/>
              </v:shape>
            </w:pict>
          </mc:Fallback>
        </mc:AlternateContent>
      </w:r>
      <w:r w:rsidR="00292BC8" w:rsidRPr="00AC3A7A">
        <w:rPr>
          <w:rFonts w:ascii="Times New Roman" w:hAnsi="Times New Roman" w:cs="Times New Roman"/>
          <w:sz w:val="24"/>
          <w:szCs w:val="24"/>
        </w:rPr>
        <w:t xml:space="preserve">The presence of the Netherlands and Belgium demonstrate the impact of technologically advanced agricultural methods and modern farming techniques. Exports, notably rely on production exceeding </w:t>
      </w:r>
      <w:r w:rsidR="001B0D00">
        <w:rPr>
          <w:rFonts w:ascii="Times New Roman" w:hAnsi="Times New Roman" w:cs="Times New Roman"/>
          <w:sz w:val="24"/>
          <w:szCs w:val="24"/>
        </w:rPr>
        <w:t xml:space="preserve">domestic </w:t>
      </w:r>
      <w:r w:rsidR="00292BC8" w:rsidRPr="00AC3A7A">
        <w:rPr>
          <w:rFonts w:ascii="Times New Roman" w:hAnsi="Times New Roman" w:cs="Times New Roman"/>
          <w:sz w:val="24"/>
          <w:szCs w:val="24"/>
        </w:rPr>
        <w:t>demand, a challenge for some of the worlds most populous nations, such as India and China. Populous nations generate proportionally higher agricultural production,</w:t>
      </w:r>
      <w:r w:rsidR="00B86888">
        <w:rPr>
          <w:rFonts w:ascii="Times New Roman" w:hAnsi="Times New Roman" w:cs="Times New Roman"/>
          <w:sz w:val="24"/>
          <w:szCs w:val="24"/>
        </w:rPr>
        <w:t xml:space="preserve"> though</w:t>
      </w:r>
      <w:r w:rsidR="00292BC8" w:rsidRPr="00AC3A7A">
        <w:rPr>
          <w:rFonts w:ascii="Times New Roman" w:hAnsi="Times New Roman" w:cs="Times New Roman"/>
          <w:sz w:val="24"/>
          <w:szCs w:val="24"/>
        </w:rPr>
        <w:t xml:space="preserve"> strong domestic consumption limits exports. </w:t>
      </w:r>
    </w:p>
    <w:p w14:paraId="0A4D6F56" w14:textId="77777777" w:rsidR="00AC3A7A" w:rsidRDefault="00AC3A7A" w:rsidP="003D7888">
      <w:pPr>
        <w:rPr>
          <w:b/>
          <w:bCs/>
          <w:u w:val="single"/>
        </w:rPr>
      </w:pPr>
    </w:p>
    <w:p w14:paraId="07CF3AB0" w14:textId="3B215F2F" w:rsidR="00AC3A7A" w:rsidRPr="00AC3A7A" w:rsidRDefault="00AC3A7A" w:rsidP="003D7888">
      <w:pPr>
        <w:rPr>
          <w:b/>
          <w:bCs/>
          <w:u w:val="single"/>
        </w:rPr>
      </w:pPr>
      <w:r w:rsidRPr="00AC3A7A">
        <w:rPr>
          <w:b/>
          <w:bCs/>
          <w:u w:val="single"/>
        </w:rPr>
        <w:lastRenderedPageBreak/>
        <w:t>National</w:t>
      </w:r>
      <w:r>
        <w:rPr>
          <w:b/>
          <w:bCs/>
          <w:u w:val="single"/>
        </w:rPr>
        <w:t xml:space="preserve"> Export Rankings </w:t>
      </w:r>
    </w:p>
    <w:p w14:paraId="316B4545" w14:textId="387FB755" w:rsidR="00D4479C" w:rsidRPr="007C3D3B" w:rsidRDefault="00367637" w:rsidP="003D7888">
      <w:pPr>
        <w:rPr>
          <w:rFonts w:ascii="Times New Roman" w:hAnsi="Times New Roman" w:cs="Times New Roman"/>
          <w:sz w:val="24"/>
          <w:szCs w:val="24"/>
        </w:rPr>
      </w:pPr>
      <w:r w:rsidRPr="007C3D3B">
        <w:rPr>
          <w:rFonts w:ascii="Times New Roman" w:hAnsi="Times New Roman" w:cs="Times New Roman"/>
          <w:sz w:val="24"/>
          <w:szCs w:val="24"/>
        </w:rPr>
        <w:t xml:space="preserve">As the examined commodities are among the largest in the agricultural sector their top exporters stand to gain disproportionately. By ranking the top 10 exporters for each commodity the largest beneficiaries are made apparent. </w:t>
      </w:r>
      <w:r w:rsidR="0044548C" w:rsidRPr="007C3D3B">
        <w:rPr>
          <w:rFonts w:ascii="Times New Roman" w:hAnsi="Times New Roman" w:cs="Times New Roman"/>
          <w:sz w:val="24"/>
          <w:szCs w:val="24"/>
        </w:rPr>
        <w:t>Consistently r</w:t>
      </w:r>
      <w:r w:rsidRPr="007C3D3B">
        <w:rPr>
          <w:rFonts w:ascii="Times New Roman" w:hAnsi="Times New Roman" w:cs="Times New Roman"/>
          <w:sz w:val="24"/>
          <w:szCs w:val="24"/>
        </w:rPr>
        <w:t>anking within the top 10 for multiple commodities denotes diversification, and protection form the negative volatility of individual crops o</w:t>
      </w:r>
      <w:r w:rsidR="00B86888">
        <w:rPr>
          <w:rFonts w:ascii="Times New Roman" w:hAnsi="Times New Roman" w:cs="Times New Roman"/>
          <w:sz w:val="24"/>
          <w:szCs w:val="24"/>
        </w:rPr>
        <w:t>r</w:t>
      </w:r>
      <w:r w:rsidRPr="007C3D3B">
        <w:rPr>
          <w:rFonts w:ascii="Times New Roman" w:hAnsi="Times New Roman" w:cs="Times New Roman"/>
          <w:sz w:val="24"/>
          <w:szCs w:val="24"/>
        </w:rPr>
        <w:t xml:space="preserve"> livestock. </w:t>
      </w:r>
      <w:r w:rsidR="00D4479C" w:rsidRPr="007C3D3B">
        <w:rPr>
          <w:rFonts w:ascii="Times New Roman" w:hAnsi="Times New Roman" w:cs="Times New Roman"/>
          <w:sz w:val="24"/>
          <w:szCs w:val="24"/>
        </w:rPr>
        <w:t xml:space="preserve">The United States dominance within the rankings is evident, as are the positions of Argentina, Canada, </w:t>
      </w:r>
      <w:r w:rsidR="0044548C" w:rsidRPr="007C3D3B">
        <w:rPr>
          <w:rFonts w:ascii="Times New Roman" w:hAnsi="Times New Roman" w:cs="Times New Roman"/>
          <w:sz w:val="24"/>
          <w:szCs w:val="24"/>
        </w:rPr>
        <w:t>and Russia.</w:t>
      </w:r>
      <w:r w:rsidR="00D4479C" w:rsidRPr="007C3D3B">
        <w:rPr>
          <w:rFonts w:ascii="Times New Roman" w:hAnsi="Times New Roman" w:cs="Times New Roman"/>
          <w:sz w:val="24"/>
          <w:szCs w:val="24"/>
        </w:rPr>
        <w:t xml:space="preserve"> Only the United States ranks as a top 10 exporter for each</w:t>
      </w:r>
      <w:r w:rsidR="00B86888">
        <w:rPr>
          <w:rFonts w:ascii="Times New Roman" w:hAnsi="Times New Roman" w:cs="Times New Roman"/>
          <w:sz w:val="24"/>
          <w:szCs w:val="24"/>
        </w:rPr>
        <w:t xml:space="preserve"> of the examined </w:t>
      </w:r>
      <w:r w:rsidR="00D4479C" w:rsidRPr="007C3D3B">
        <w:rPr>
          <w:rFonts w:ascii="Times New Roman" w:hAnsi="Times New Roman" w:cs="Times New Roman"/>
          <w:sz w:val="24"/>
          <w:szCs w:val="24"/>
        </w:rPr>
        <w:t>commodi</w:t>
      </w:r>
      <w:r w:rsidR="00B86888">
        <w:rPr>
          <w:rFonts w:ascii="Times New Roman" w:hAnsi="Times New Roman" w:cs="Times New Roman"/>
          <w:sz w:val="24"/>
          <w:szCs w:val="24"/>
        </w:rPr>
        <w:t xml:space="preserve">ties. </w:t>
      </w:r>
      <w:r w:rsidR="00D4479C" w:rsidRPr="007C3D3B">
        <w:rPr>
          <w:rFonts w:ascii="Times New Roman" w:hAnsi="Times New Roman" w:cs="Times New Roman"/>
          <w:sz w:val="24"/>
          <w:szCs w:val="24"/>
        </w:rPr>
        <w:t xml:space="preserve"> </w:t>
      </w:r>
    </w:p>
    <w:tbl>
      <w:tblPr>
        <w:tblW w:w="10036" w:type="dxa"/>
        <w:tblLook w:val="04A0" w:firstRow="1" w:lastRow="0" w:firstColumn="1" w:lastColumn="0" w:noHBand="0" w:noVBand="1"/>
      </w:tblPr>
      <w:tblGrid>
        <w:gridCol w:w="634"/>
        <w:gridCol w:w="1699"/>
        <w:gridCol w:w="1496"/>
        <w:gridCol w:w="1643"/>
        <w:gridCol w:w="1460"/>
        <w:gridCol w:w="1552"/>
        <w:gridCol w:w="1552"/>
      </w:tblGrid>
      <w:tr w:rsidR="00D4479C" w:rsidRPr="00D4479C" w14:paraId="5FDFD83B" w14:textId="77777777" w:rsidTr="00D4479C">
        <w:trPr>
          <w:trHeight w:val="446"/>
        </w:trPr>
        <w:tc>
          <w:tcPr>
            <w:tcW w:w="6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5C2140"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 </w:t>
            </w:r>
          </w:p>
        </w:tc>
        <w:tc>
          <w:tcPr>
            <w:tcW w:w="1699" w:type="dxa"/>
            <w:tcBorders>
              <w:top w:val="single" w:sz="4" w:space="0" w:color="auto"/>
              <w:left w:val="nil"/>
              <w:bottom w:val="single" w:sz="4" w:space="0" w:color="auto"/>
              <w:right w:val="single" w:sz="4" w:space="0" w:color="auto"/>
            </w:tcBorders>
            <w:shd w:val="clear" w:color="auto" w:fill="auto"/>
            <w:noWrap/>
            <w:vAlign w:val="bottom"/>
            <w:hideMark/>
          </w:tcPr>
          <w:p w14:paraId="24748565"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Soybeans</w:t>
            </w:r>
          </w:p>
        </w:tc>
        <w:tc>
          <w:tcPr>
            <w:tcW w:w="1496" w:type="dxa"/>
            <w:tcBorders>
              <w:top w:val="single" w:sz="4" w:space="0" w:color="auto"/>
              <w:left w:val="nil"/>
              <w:bottom w:val="single" w:sz="4" w:space="0" w:color="auto"/>
              <w:right w:val="single" w:sz="4" w:space="0" w:color="auto"/>
            </w:tcBorders>
            <w:shd w:val="clear" w:color="auto" w:fill="auto"/>
            <w:noWrap/>
            <w:vAlign w:val="bottom"/>
            <w:hideMark/>
          </w:tcPr>
          <w:p w14:paraId="252E31F5"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Corn</w:t>
            </w:r>
          </w:p>
        </w:tc>
        <w:tc>
          <w:tcPr>
            <w:tcW w:w="1643" w:type="dxa"/>
            <w:tcBorders>
              <w:top w:val="single" w:sz="4" w:space="0" w:color="auto"/>
              <w:left w:val="nil"/>
              <w:bottom w:val="single" w:sz="4" w:space="0" w:color="auto"/>
              <w:right w:val="single" w:sz="4" w:space="0" w:color="auto"/>
            </w:tcBorders>
            <w:shd w:val="clear" w:color="auto" w:fill="auto"/>
            <w:noWrap/>
            <w:vAlign w:val="bottom"/>
            <w:hideMark/>
          </w:tcPr>
          <w:p w14:paraId="783F5BAB"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Wheat</w:t>
            </w:r>
          </w:p>
        </w:tc>
        <w:tc>
          <w:tcPr>
            <w:tcW w:w="1460" w:type="dxa"/>
            <w:tcBorders>
              <w:top w:val="single" w:sz="4" w:space="0" w:color="auto"/>
              <w:left w:val="nil"/>
              <w:bottom w:val="single" w:sz="4" w:space="0" w:color="auto"/>
              <w:right w:val="single" w:sz="4" w:space="0" w:color="auto"/>
            </w:tcBorders>
            <w:shd w:val="clear" w:color="auto" w:fill="auto"/>
            <w:noWrap/>
            <w:vAlign w:val="bottom"/>
            <w:hideMark/>
          </w:tcPr>
          <w:p w14:paraId="31AC9CE4"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Rice</w:t>
            </w:r>
          </w:p>
        </w:tc>
        <w:tc>
          <w:tcPr>
            <w:tcW w:w="1552" w:type="dxa"/>
            <w:tcBorders>
              <w:top w:val="single" w:sz="4" w:space="0" w:color="auto"/>
              <w:left w:val="nil"/>
              <w:bottom w:val="single" w:sz="4" w:space="0" w:color="auto"/>
              <w:right w:val="single" w:sz="4" w:space="0" w:color="auto"/>
            </w:tcBorders>
            <w:shd w:val="clear" w:color="auto" w:fill="auto"/>
            <w:noWrap/>
            <w:vAlign w:val="bottom"/>
            <w:hideMark/>
          </w:tcPr>
          <w:p w14:paraId="460BB4B7"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Lean Hogs</w:t>
            </w:r>
          </w:p>
        </w:tc>
        <w:tc>
          <w:tcPr>
            <w:tcW w:w="1552" w:type="dxa"/>
            <w:tcBorders>
              <w:top w:val="single" w:sz="4" w:space="0" w:color="auto"/>
              <w:left w:val="nil"/>
              <w:bottom w:val="single" w:sz="4" w:space="0" w:color="auto"/>
              <w:right w:val="single" w:sz="4" w:space="0" w:color="auto"/>
            </w:tcBorders>
            <w:shd w:val="clear" w:color="auto" w:fill="auto"/>
            <w:noWrap/>
            <w:vAlign w:val="bottom"/>
            <w:hideMark/>
          </w:tcPr>
          <w:p w14:paraId="4A209ACF"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Live Cattle</w:t>
            </w:r>
          </w:p>
        </w:tc>
      </w:tr>
      <w:tr w:rsidR="00D4479C" w:rsidRPr="00D4479C" w14:paraId="177DD84F" w14:textId="77777777" w:rsidTr="00D4479C">
        <w:trPr>
          <w:trHeight w:val="446"/>
        </w:trPr>
        <w:tc>
          <w:tcPr>
            <w:tcW w:w="634" w:type="dxa"/>
            <w:tcBorders>
              <w:top w:val="nil"/>
              <w:left w:val="single" w:sz="4" w:space="0" w:color="auto"/>
              <w:bottom w:val="single" w:sz="4" w:space="0" w:color="auto"/>
              <w:right w:val="single" w:sz="4" w:space="0" w:color="auto"/>
            </w:tcBorders>
            <w:shd w:val="clear" w:color="auto" w:fill="auto"/>
            <w:noWrap/>
            <w:vAlign w:val="bottom"/>
            <w:hideMark/>
          </w:tcPr>
          <w:p w14:paraId="297731E4" w14:textId="77777777" w:rsidR="00D4479C" w:rsidRPr="00D4479C" w:rsidRDefault="00D4479C" w:rsidP="00D4479C">
            <w:pPr>
              <w:spacing w:after="0" w:line="240" w:lineRule="auto"/>
              <w:jc w:val="right"/>
              <w:rPr>
                <w:rFonts w:ascii="Calibri" w:eastAsia="Times New Roman" w:hAnsi="Calibri" w:cs="Calibri"/>
                <w:color w:val="000000"/>
              </w:rPr>
            </w:pPr>
            <w:r w:rsidRPr="00D4479C">
              <w:rPr>
                <w:rFonts w:ascii="Calibri" w:eastAsia="Times New Roman" w:hAnsi="Calibri" w:cs="Calibri"/>
                <w:color w:val="000000"/>
              </w:rPr>
              <w:t>1</w:t>
            </w:r>
          </w:p>
        </w:tc>
        <w:tc>
          <w:tcPr>
            <w:tcW w:w="1699" w:type="dxa"/>
            <w:tcBorders>
              <w:top w:val="nil"/>
              <w:left w:val="nil"/>
              <w:bottom w:val="single" w:sz="4" w:space="0" w:color="auto"/>
              <w:right w:val="single" w:sz="4" w:space="0" w:color="auto"/>
            </w:tcBorders>
            <w:shd w:val="clear" w:color="auto" w:fill="auto"/>
            <w:noWrap/>
            <w:vAlign w:val="bottom"/>
            <w:hideMark/>
          </w:tcPr>
          <w:p w14:paraId="5CC1C53A"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Brazil</w:t>
            </w:r>
          </w:p>
        </w:tc>
        <w:tc>
          <w:tcPr>
            <w:tcW w:w="1496" w:type="dxa"/>
            <w:tcBorders>
              <w:top w:val="nil"/>
              <w:left w:val="nil"/>
              <w:bottom w:val="single" w:sz="4" w:space="0" w:color="auto"/>
              <w:right w:val="single" w:sz="4" w:space="0" w:color="auto"/>
            </w:tcBorders>
            <w:shd w:val="clear" w:color="auto" w:fill="auto"/>
            <w:noWrap/>
            <w:vAlign w:val="bottom"/>
            <w:hideMark/>
          </w:tcPr>
          <w:p w14:paraId="10B83444"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highlight w:val="yellow"/>
              </w:rPr>
              <w:t>United States</w:t>
            </w:r>
          </w:p>
        </w:tc>
        <w:tc>
          <w:tcPr>
            <w:tcW w:w="1643" w:type="dxa"/>
            <w:tcBorders>
              <w:top w:val="nil"/>
              <w:left w:val="nil"/>
              <w:bottom w:val="single" w:sz="4" w:space="0" w:color="auto"/>
              <w:right w:val="single" w:sz="4" w:space="0" w:color="auto"/>
            </w:tcBorders>
            <w:shd w:val="clear" w:color="auto" w:fill="auto"/>
            <w:noWrap/>
            <w:vAlign w:val="bottom"/>
            <w:hideMark/>
          </w:tcPr>
          <w:p w14:paraId="05B9C14A"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Russia</w:t>
            </w:r>
          </w:p>
        </w:tc>
        <w:tc>
          <w:tcPr>
            <w:tcW w:w="1460" w:type="dxa"/>
            <w:tcBorders>
              <w:top w:val="nil"/>
              <w:left w:val="nil"/>
              <w:bottom w:val="single" w:sz="4" w:space="0" w:color="auto"/>
              <w:right w:val="single" w:sz="4" w:space="0" w:color="auto"/>
            </w:tcBorders>
            <w:shd w:val="clear" w:color="auto" w:fill="auto"/>
            <w:noWrap/>
            <w:vAlign w:val="bottom"/>
            <w:hideMark/>
          </w:tcPr>
          <w:p w14:paraId="4238EA48"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India</w:t>
            </w:r>
          </w:p>
        </w:tc>
        <w:tc>
          <w:tcPr>
            <w:tcW w:w="1552" w:type="dxa"/>
            <w:tcBorders>
              <w:top w:val="nil"/>
              <w:left w:val="nil"/>
              <w:bottom w:val="single" w:sz="4" w:space="0" w:color="auto"/>
              <w:right w:val="single" w:sz="4" w:space="0" w:color="auto"/>
            </w:tcBorders>
            <w:shd w:val="clear" w:color="auto" w:fill="auto"/>
            <w:noWrap/>
            <w:vAlign w:val="bottom"/>
            <w:hideMark/>
          </w:tcPr>
          <w:p w14:paraId="1C80A10D"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Spain</w:t>
            </w:r>
          </w:p>
        </w:tc>
        <w:tc>
          <w:tcPr>
            <w:tcW w:w="1552" w:type="dxa"/>
            <w:tcBorders>
              <w:top w:val="nil"/>
              <w:left w:val="nil"/>
              <w:bottom w:val="single" w:sz="4" w:space="0" w:color="auto"/>
              <w:right w:val="single" w:sz="4" w:space="0" w:color="auto"/>
            </w:tcBorders>
            <w:shd w:val="clear" w:color="auto" w:fill="auto"/>
            <w:noWrap/>
            <w:vAlign w:val="bottom"/>
            <w:hideMark/>
          </w:tcPr>
          <w:p w14:paraId="0DAF41D9"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Brazil</w:t>
            </w:r>
          </w:p>
        </w:tc>
      </w:tr>
      <w:tr w:rsidR="00D4479C" w:rsidRPr="00D4479C" w14:paraId="68237B05" w14:textId="77777777" w:rsidTr="00D4479C">
        <w:trPr>
          <w:trHeight w:val="446"/>
        </w:trPr>
        <w:tc>
          <w:tcPr>
            <w:tcW w:w="634" w:type="dxa"/>
            <w:tcBorders>
              <w:top w:val="nil"/>
              <w:left w:val="single" w:sz="4" w:space="0" w:color="auto"/>
              <w:bottom w:val="single" w:sz="4" w:space="0" w:color="auto"/>
              <w:right w:val="single" w:sz="4" w:space="0" w:color="auto"/>
            </w:tcBorders>
            <w:shd w:val="clear" w:color="auto" w:fill="auto"/>
            <w:noWrap/>
            <w:vAlign w:val="bottom"/>
            <w:hideMark/>
          </w:tcPr>
          <w:p w14:paraId="51E00432" w14:textId="77777777" w:rsidR="00D4479C" w:rsidRPr="00D4479C" w:rsidRDefault="00D4479C" w:rsidP="00D4479C">
            <w:pPr>
              <w:spacing w:after="0" w:line="240" w:lineRule="auto"/>
              <w:jc w:val="right"/>
              <w:rPr>
                <w:rFonts w:ascii="Calibri" w:eastAsia="Times New Roman" w:hAnsi="Calibri" w:cs="Calibri"/>
                <w:color w:val="000000"/>
              </w:rPr>
            </w:pPr>
            <w:r w:rsidRPr="00D4479C">
              <w:rPr>
                <w:rFonts w:ascii="Calibri" w:eastAsia="Times New Roman" w:hAnsi="Calibri" w:cs="Calibri"/>
                <w:color w:val="000000"/>
              </w:rPr>
              <w:t>2</w:t>
            </w:r>
          </w:p>
        </w:tc>
        <w:tc>
          <w:tcPr>
            <w:tcW w:w="1699" w:type="dxa"/>
            <w:tcBorders>
              <w:top w:val="nil"/>
              <w:left w:val="nil"/>
              <w:bottom w:val="single" w:sz="4" w:space="0" w:color="auto"/>
              <w:right w:val="single" w:sz="4" w:space="0" w:color="auto"/>
            </w:tcBorders>
            <w:shd w:val="clear" w:color="auto" w:fill="auto"/>
            <w:noWrap/>
            <w:vAlign w:val="bottom"/>
            <w:hideMark/>
          </w:tcPr>
          <w:p w14:paraId="1A0DE688" w14:textId="77777777" w:rsidR="00D4479C" w:rsidRPr="00D4479C" w:rsidRDefault="00D4479C" w:rsidP="00D4479C">
            <w:pPr>
              <w:spacing w:after="0" w:line="240" w:lineRule="auto"/>
              <w:rPr>
                <w:rFonts w:ascii="Calibri" w:eastAsia="Times New Roman" w:hAnsi="Calibri" w:cs="Calibri"/>
                <w:color w:val="000000"/>
                <w:highlight w:val="yellow"/>
              </w:rPr>
            </w:pPr>
            <w:r w:rsidRPr="00D4479C">
              <w:rPr>
                <w:rFonts w:ascii="Calibri" w:eastAsia="Times New Roman" w:hAnsi="Calibri" w:cs="Calibri"/>
                <w:color w:val="000000"/>
                <w:highlight w:val="yellow"/>
              </w:rPr>
              <w:t>United States</w:t>
            </w:r>
          </w:p>
        </w:tc>
        <w:tc>
          <w:tcPr>
            <w:tcW w:w="1496" w:type="dxa"/>
            <w:tcBorders>
              <w:top w:val="nil"/>
              <w:left w:val="nil"/>
              <w:bottom w:val="single" w:sz="4" w:space="0" w:color="auto"/>
              <w:right w:val="single" w:sz="4" w:space="0" w:color="auto"/>
            </w:tcBorders>
            <w:shd w:val="clear" w:color="auto" w:fill="auto"/>
            <w:noWrap/>
            <w:vAlign w:val="bottom"/>
            <w:hideMark/>
          </w:tcPr>
          <w:p w14:paraId="2251A642"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Argentina</w:t>
            </w:r>
          </w:p>
        </w:tc>
        <w:tc>
          <w:tcPr>
            <w:tcW w:w="1643" w:type="dxa"/>
            <w:tcBorders>
              <w:top w:val="nil"/>
              <w:left w:val="nil"/>
              <w:bottom w:val="single" w:sz="4" w:space="0" w:color="auto"/>
              <w:right w:val="single" w:sz="4" w:space="0" w:color="auto"/>
            </w:tcBorders>
            <w:shd w:val="clear" w:color="auto" w:fill="auto"/>
            <w:noWrap/>
            <w:vAlign w:val="bottom"/>
            <w:hideMark/>
          </w:tcPr>
          <w:p w14:paraId="3163E3F4" w14:textId="77777777" w:rsidR="00D4479C" w:rsidRPr="00D4479C" w:rsidRDefault="00D4479C" w:rsidP="00D4479C">
            <w:pPr>
              <w:spacing w:after="0" w:line="240" w:lineRule="auto"/>
              <w:rPr>
                <w:rFonts w:ascii="Calibri" w:eastAsia="Times New Roman" w:hAnsi="Calibri" w:cs="Calibri"/>
                <w:color w:val="000000"/>
                <w:highlight w:val="yellow"/>
              </w:rPr>
            </w:pPr>
            <w:r w:rsidRPr="00D4479C">
              <w:rPr>
                <w:rFonts w:ascii="Calibri" w:eastAsia="Times New Roman" w:hAnsi="Calibri" w:cs="Calibri"/>
                <w:color w:val="000000"/>
                <w:highlight w:val="yellow"/>
              </w:rPr>
              <w:t>United States</w:t>
            </w:r>
          </w:p>
        </w:tc>
        <w:tc>
          <w:tcPr>
            <w:tcW w:w="1460" w:type="dxa"/>
            <w:tcBorders>
              <w:top w:val="nil"/>
              <w:left w:val="nil"/>
              <w:bottom w:val="single" w:sz="4" w:space="0" w:color="auto"/>
              <w:right w:val="single" w:sz="4" w:space="0" w:color="auto"/>
            </w:tcBorders>
            <w:shd w:val="clear" w:color="auto" w:fill="auto"/>
            <w:noWrap/>
            <w:vAlign w:val="bottom"/>
            <w:hideMark/>
          </w:tcPr>
          <w:p w14:paraId="602CE766"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Thailand</w:t>
            </w:r>
          </w:p>
        </w:tc>
        <w:tc>
          <w:tcPr>
            <w:tcW w:w="1552" w:type="dxa"/>
            <w:tcBorders>
              <w:top w:val="nil"/>
              <w:left w:val="nil"/>
              <w:bottom w:val="single" w:sz="4" w:space="0" w:color="auto"/>
              <w:right w:val="single" w:sz="4" w:space="0" w:color="auto"/>
            </w:tcBorders>
            <w:shd w:val="clear" w:color="auto" w:fill="auto"/>
            <w:noWrap/>
            <w:vAlign w:val="bottom"/>
            <w:hideMark/>
          </w:tcPr>
          <w:p w14:paraId="35B61324"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highlight w:val="yellow"/>
              </w:rPr>
              <w:t>United States</w:t>
            </w:r>
          </w:p>
        </w:tc>
        <w:tc>
          <w:tcPr>
            <w:tcW w:w="1552" w:type="dxa"/>
            <w:tcBorders>
              <w:top w:val="nil"/>
              <w:left w:val="nil"/>
              <w:bottom w:val="single" w:sz="4" w:space="0" w:color="auto"/>
              <w:right w:val="single" w:sz="4" w:space="0" w:color="auto"/>
            </w:tcBorders>
            <w:shd w:val="clear" w:color="auto" w:fill="auto"/>
            <w:noWrap/>
            <w:vAlign w:val="bottom"/>
            <w:hideMark/>
          </w:tcPr>
          <w:p w14:paraId="250912D0"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Australia</w:t>
            </w:r>
          </w:p>
        </w:tc>
      </w:tr>
      <w:tr w:rsidR="00D4479C" w:rsidRPr="00D4479C" w14:paraId="5E81B331" w14:textId="77777777" w:rsidTr="00D4479C">
        <w:trPr>
          <w:trHeight w:val="446"/>
        </w:trPr>
        <w:tc>
          <w:tcPr>
            <w:tcW w:w="634" w:type="dxa"/>
            <w:tcBorders>
              <w:top w:val="nil"/>
              <w:left w:val="single" w:sz="4" w:space="0" w:color="auto"/>
              <w:bottom w:val="single" w:sz="4" w:space="0" w:color="auto"/>
              <w:right w:val="single" w:sz="4" w:space="0" w:color="auto"/>
            </w:tcBorders>
            <w:shd w:val="clear" w:color="auto" w:fill="auto"/>
            <w:noWrap/>
            <w:vAlign w:val="bottom"/>
            <w:hideMark/>
          </w:tcPr>
          <w:p w14:paraId="34335744" w14:textId="77777777" w:rsidR="00D4479C" w:rsidRPr="00D4479C" w:rsidRDefault="00D4479C" w:rsidP="00D4479C">
            <w:pPr>
              <w:spacing w:after="0" w:line="240" w:lineRule="auto"/>
              <w:jc w:val="right"/>
              <w:rPr>
                <w:rFonts w:ascii="Calibri" w:eastAsia="Times New Roman" w:hAnsi="Calibri" w:cs="Calibri"/>
                <w:color w:val="000000"/>
              </w:rPr>
            </w:pPr>
            <w:r w:rsidRPr="00D4479C">
              <w:rPr>
                <w:rFonts w:ascii="Calibri" w:eastAsia="Times New Roman" w:hAnsi="Calibri" w:cs="Calibri"/>
                <w:color w:val="000000"/>
              </w:rPr>
              <w:t>3</w:t>
            </w:r>
          </w:p>
        </w:tc>
        <w:tc>
          <w:tcPr>
            <w:tcW w:w="1699" w:type="dxa"/>
            <w:tcBorders>
              <w:top w:val="nil"/>
              <w:left w:val="nil"/>
              <w:bottom w:val="single" w:sz="4" w:space="0" w:color="auto"/>
              <w:right w:val="single" w:sz="4" w:space="0" w:color="auto"/>
            </w:tcBorders>
            <w:shd w:val="clear" w:color="auto" w:fill="auto"/>
            <w:noWrap/>
            <w:vAlign w:val="bottom"/>
            <w:hideMark/>
          </w:tcPr>
          <w:p w14:paraId="30A7AD7C"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Argentina</w:t>
            </w:r>
          </w:p>
        </w:tc>
        <w:tc>
          <w:tcPr>
            <w:tcW w:w="1496" w:type="dxa"/>
            <w:tcBorders>
              <w:top w:val="nil"/>
              <w:left w:val="nil"/>
              <w:bottom w:val="single" w:sz="4" w:space="0" w:color="auto"/>
              <w:right w:val="single" w:sz="4" w:space="0" w:color="auto"/>
            </w:tcBorders>
            <w:shd w:val="clear" w:color="auto" w:fill="auto"/>
            <w:noWrap/>
            <w:vAlign w:val="bottom"/>
            <w:hideMark/>
          </w:tcPr>
          <w:p w14:paraId="2BB74976"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Brazil</w:t>
            </w:r>
          </w:p>
        </w:tc>
        <w:tc>
          <w:tcPr>
            <w:tcW w:w="1643" w:type="dxa"/>
            <w:tcBorders>
              <w:top w:val="nil"/>
              <w:left w:val="nil"/>
              <w:bottom w:val="single" w:sz="4" w:space="0" w:color="auto"/>
              <w:right w:val="single" w:sz="4" w:space="0" w:color="auto"/>
            </w:tcBorders>
            <w:shd w:val="clear" w:color="auto" w:fill="auto"/>
            <w:noWrap/>
            <w:vAlign w:val="bottom"/>
            <w:hideMark/>
          </w:tcPr>
          <w:p w14:paraId="3189FE6C"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Canada</w:t>
            </w:r>
          </w:p>
        </w:tc>
        <w:tc>
          <w:tcPr>
            <w:tcW w:w="1460" w:type="dxa"/>
            <w:tcBorders>
              <w:top w:val="nil"/>
              <w:left w:val="nil"/>
              <w:bottom w:val="single" w:sz="4" w:space="0" w:color="auto"/>
              <w:right w:val="single" w:sz="4" w:space="0" w:color="auto"/>
            </w:tcBorders>
            <w:shd w:val="clear" w:color="auto" w:fill="auto"/>
            <w:noWrap/>
            <w:vAlign w:val="bottom"/>
            <w:hideMark/>
          </w:tcPr>
          <w:p w14:paraId="15F244D0"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Pakistan</w:t>
            </w:r>
          </w:p>
        </w:tc>
        <w:tc>
          <w:tcPr>
            <w:tcW w:w="1552" w:type="dxa"/>
            <w:tcBorders>
              <w:top w:val="nil"/>
              <w:left w:val="nil"/>
              <w:bottom w:val="single" w:sz="4" w:space="0" w:color="auto"/>
              <w:right w:val="single" w:sz="4" w:space="0" w:color="auto"/>
            </w:tcBorders>
            <w:shd w:val="clear" w:color="auto" w:fill="auto"/>
            <w:noWrap/>
            <w:vAlign w:val="bottom"/>
            <w:hideMark/>
          </w:tcPr>
          <w:p w14:paraId="0A468F4C"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Germany</w:t>
            </w:r>
          </w:p>
        </w:tc>
        <w:tc>
          <w:tcPr>
            <w:tcW w:w="1552" w:type="dxa"/>
            <w:tcBorders>
              <w:top w:val="nil"/>
              <w:left w:val="nil"/>
              <w:bottom w:val="single" w:sz="4" w:space="0" w:color="auto"/>
              <w:right w:val="single" w:sz="4" w:space="0" w:color="auto"/>
            </w:tcBorders>
            <w:shd w:val="clear" w:color="auto" w:fill="auto"/>
            <w:noWrap/>
            <w:vAlign w:val="bottom"/>
            <w:hideMark/>
          </w:tcPr>
          <w:p w14:paraId="4FF3FEC5"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highlight w:val="yellow"/>
              </w:rPr>
              <w:t>United States</w:t>
            </w:r>
          </w:p>
        </w:tc>
      </w:tr>
      <w:tr w:rsidR="00D4479C" w:rsidRPr="00D4479C" w14:paraId="5D139581" w14:textId="77777777" w:rsidTr="00D4479C">
        <w:trPr>
          <w:trHeight w:val="446"/>
        </w:trPr>
        <w:tc>
          <w:tcPr>
            <w:tcW w:w="634" w:type="dxa"/>
            <w:tcBorders>
              <w:top w:val="nil"/>
              <w:left w:val="single" w:sz="4" w:space="0" w:color="auto"/>
              <w:bottom w:val="single" w:sz="4" w:space="0" w:color="auto"/>
              <w:right w:val="single" w:sz="4" w:space="0" w:color="auto"/>
            </w:tcBorders>
            <w:shd w:val="clear" w:color="auto" w:fill="auto"/>
            <w:noWrap/>
            <w:vAlign w:val="bottom"/>
            <w:hideMark/>
          </w:tcPr>
          <w:p w14:paraId="30C440A9" w14:textId="77777777" w:rsidR="00D4479C" w:rsidRPr="00D4479C" w:rsidRDefault="00D4479C" w:rsidP="00D4479C">
            <w:pPr>
              <w:spacing w:after="0" w:line="240" w:lineRule="auto"/>
              <w:jc w:val="right"/>
              <w:rPr>
                <w:rFonts w:ascii="Calibri" w:eastAsia="Times New Roman" w:hAnsi="Calibri" w:cs="Calibri"/>
                <w:color w:val="000000"/>
              </w:rPr>
            </w:pPr>
            <w:r w:rsidRPr="00D4479C">
              <w:rPr>
                <w:rFonts w:ascii="Calibri" w:eastAsia="Times New Roman" w:hAnsi="Calibri" w:cs="Calibri"/>
                <w:color w:val="000000"/>
              </w:rPr>
              <w:t>4</w:t>
            </w:r>
          </w:p>
        </w:tc>
        <w:tc>
          <w:tcPr>
            <w:tcW w:w="1699" w:type="dxa"/>
            <w:tcBorders>
              <w:top w:val="nil"/>
              <w:left w:val="nil"/>
              <w:bottom w:val="single" w:sz="4" w:space="0" w:color="auto"/>
              <w:right w:val="single" w:sz="4" w:space="0" w:color="auto"/>
            </w:tcBorders>
            <w:shd w:val="clear" w:color="auto" w:fill="auto"/>
            <w:noWrap/>
            <w:vAlign w:val="bottom"/>
            <w:hideMark/>
          </w:tcPr>
          <w:p w14:paraId="73F14F69"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Paraguay</w:t>
            </w:r>
          </w:p>
        </w:tc>
        <w:tc>
          <w:tcPr>
            <w:tcW w:w="1496" w:type="dxa"/>
            <w:tcBorders>
              <w:top w:val="nil"/>
              <w:left w:val="nil"/>
              <w:bottom w:val="single" w:sz="4" w:space="0" w:color="auto"/>
              <w:right w:val="single" w:sz="4" w:space="0" w:color="auto"/>
            </w:tcBorders>
            <w:shd w:val="clear" w:color="auto" w:fill="auto"/>
            <w:noWrap/>
            <w:vAlign w:val="bottom"/>
            <w:hideMark/>
          </w:tcPr>
          <w:p w14:paraId="0B805BF2"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Ukraine</w:t>
            </w:r>
          </w:p>
        </w:tc>
        <w:tc>
          <w:tcPr>
            <w:tcW w:w="1643" w:type="dxa"/>
            <w:tcBorders>
              <w:top w:val="nil"/>
              <w:left w:val="nil"/>
              <w:bottom w:val="single" w:sz="4" w:space="0" w:color="auto"/>
              <w:right w:val="single" w:sz="4" w:space="0" w:color="auto"/>
            </w:tcBorders>
            <w:shd w:val="clear" w:color="auto" w:fill="auto"/>
            <w:noWrap/>
            <w:vAlign w:val="bottom"/>
            <w:hideMark/>
          </w:tcPr>
          <w:p w14:paraId="5653FC80"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France</w:t>
            </w:r>
          </w:p>
        </w:tc>
        <w:tc>
          <w:tcPr>
            <w:tcW w:w="1460" w:type="dxa"/>
            <w:tcBorders>
              <w:top w:val="nil"/>
              <w:left w:val="nil"/>
              <w:bottom w:val="single" w:sz="4" w:space="0" w:color="auto"/>
              <w:right w:val="single" w:sz="4" w:space="0" w:color="auto"/>
            </w:tcBorders>
            <w:shd w:val="clear" w:color="auto" w:fill="auto"/>
            <w:noWrap/>
            <w:vAlign w:val="bottom"/>
            <w:hideMark/>
          </w:tcPr>
          <w:p w14:paraId="6F0A8D12"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highlight w:val="yellow"/>
              </w:rPr>
              <w:t>United States</w:t>
            </w:r>
          </w:p>
        </w:tc>
        <w:tc>
          <w:tcPr>
            <w:tcW w:w="1552" w:type="dxa"/>
            <w:tcBorders>
              <w:top w:val="nil"/>
              <w:left w:val="nil"/>
              <w:bottom w:val="single" w:sz="4" w:space="0" w:color="auto"/>
              <w:right w:val="single" w:sz="4" w:space="0" w:color="auto"/>
            </w:tcBorders>
            <w:shd w:val="clear" w:color="auto" w:fill="auto"/>
            <w:noWrap/>
            <w:vAlign w:val="bottom"/>
            <w:hideMark/>
          </w:tcPr>
          <w:p w14:paraId="02D2CBD3"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Canada</w:t>
            </w:r>
          </w:p>
        </w:tc>
        <w:tc>
          <w:tcPr>
            <w:tcW w:w="1552" w:type="dxa"/>
            <w:tcBorders>
              <w:top w:val="nil"/>
              <w:left w:val="nil"/>
              <w:bottom w:val="single" w:sz="4" w:space="0" w:color="auto"/>
              <w:right w:val="single" w:sz="4" w:space="0" w:color="auto"/>
            </w:tcBorders>
            <w:shd w:val="clear" w:color="auto" w:fill="auto"/>
            <w:noWrap/>
            <w:vAlign w:val="bottom"/>
            <w:hideMark/>
          </w:tcPr>
          <w:p w14:paraId="6BE220DC"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India</w:t>
            </w:r>
          </w:p>
        </w:tc>
      </w:tr>
      <w:tr w:rsidR="00D4479C" w:rsidRPr="00D4479C" w14:paraId="43A1E976" w14:textId="77777777" w:rsidTr="00D4479C">
        <w:trPr>
          <w:trHeight w:val="446"/>
        </w:trPr>
        <w:tc>
          <w:tcPr>
            <w:tcW w:w="634" w:type="dxa"/>
            <w:tcBorders>
              <w:top w:val="nil"/>
              <w:left w:val="single" w:sz="4" w:space="0" w:color="auto"/>
              <w:bottom w:val="single" w:sz="4" w:space="0" w:color="auto"/>
              <w:right w:val="single" w:sz="4" w:space="0" w:color="auto"/>
            </w:tcBorders>
            <w:shd w:val="clear" w:color="auto" w:fill="auto"/>
            <w:noWrap/>
            <w:vAlign w:val="bottom"/>
            <w:hideMark/>
          </w:tcPr>
          <w:p w14:paraId="535B50E6" w14:textId="77777777" w:rsidR="00D4479C" w:rsidRPr="00D4479C" w:rsidRDefault="00D4479C" w:rsidP="00D4479C">
            <w:pPr>
              <w:spacing w:after="0" w:line="240" w:lineRule="auto"/>
              <w:jc w:val="right"/>
              <w:rPr>
                <w:rFonts w:ascii="Calibri" w:eastAsia="Times New Roman" w:hAnsi="Calibri" w:cs="Calibri"/>
                <w:color w:val="000000"/>
              </w:rPr>
            </w:pPr>
            <w:r w:rsidRPr="00D4479C">
              <w:rPr>
                <w:rFonts w:ascii="Calibri" w:eastAsia="Times New Roman" w:hAnsi="Calibri" w:cs="Calibri"/>
                <w:color w:val="000000"/>
              </w:rPr>
              <w:t>5</w:t>
            </w:r>
          </w:p>
        </w:tc>
        <w:tc>
          <w:tcPr>
            <w:tcW w:w="1699" w:type="dxa"/>
            <w:tcBorders>
              <w:top w:val="nil"/>
              <w:left w:val="nil"/>
              <w:bottom w:val="single" w:sz="4" w:space="0" w:color="auto"/>
              <w:right w:val="single" w:sz="4" w:space="0" w:color="auto"/>
            </w:tcBorders>
            <w:shd w:val="clear" w:color="auto" w:fill="auto"/>
            <w:noWrap/>
            <w:vAlign w:val="bottom"/>
            <w:hideMark/>
          </w:tcPr>
          <w:p w14:paraId="713B7BFE"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Canada</w:t>
            </w:r>
          </w:p>
        </w:tc>
        <w:tc>
          <w:tcPr>
            <w:tcW w:w="1496" w:type="dxa"/>
            <w:tcBorders>
              <w:top w:val="nil"/>
              <w:left w:val="nil"/>
              <w:bottom w:val="single" w:sz="4" w:space="0" w:color="auto"/>
              <w:right w:val="single" w:sz="4" w:space="0" w:color="auto"/>
            </w:tcBorders>
            <w:shd w:val="clear" w:color="auto" w:fill="auto"/>
            <w:noWrap/>
            <w:vAlign w:val="bottom"/>
            <w:hideMark/>
          </w:tcPr>
          <w:p w14:paraId="1210A375"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France</w:t>
            </w:r>
          </w:p>
        </w:tc>
        <w:tc>
          <w:tcPr>
            <w:tcW w:w="1643" w:type="dxa"/>
            <w:tcBorders>
              <w:top w:val="nil"/>
              <w:left w:val="nil"/>
              <w:bottom w:val="single" w:sz="4" w:space="0" w:color="auto"/>
              <w:right w:val="single" w:sz="4" w:space="0" w:color="auto"/>
            </w:tcBorders>
            <w:shd w:val="clear" w:color="auto" w:fill="auto"/>
            <w:noWrap/>
            <w:vAlign w:val="bottom"/>
            <w:hideMark/>
          </w:tcPr>
          <w:p w14:paraId="235B6D70"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Ukraine</w:t>
            </w:r>
          </w:p>
        </w:tc>
        <w:tc>
          <w:tcPr>
            <w:tcW w:w="1460" w:type="dxa"/>
            <w:tcBorders>
              <w:top w:val="nil"/>
              <w:left w:val="nil"/>
              <w:bottom w:val="single" w:sz="4" w:space="0" w:color="auto"/>
              <w:right w:val="single" w:sz="4" w:space="0" w:color="auto"/>
            </w:tcBorders>
            <w:shd w:val="clear" w:color="auto" w:fill="auto"/>
            <w:noWrap/>
            <w:vAlign w:val="bottom"/>
            <w:hideMark/>
          </w:tcPr>
          <w:p w14:paraId="0582226E"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Vietnam</w:t>
            </w:r>
          </w:p>
        </w:tc>
        <w:tc>
          <w:tcPr>
            <w:tcW w:w="1552" w:type="dxa"/>
            <w:tcBorders>
              <w:top w:val="nil"/>
              <w:left w:val="nil"/>
              <w:bottom w:val="single" w:sz="4" w:space="0" w:color="auto"/>
              <w:right w:val="single" w:sz="4" w:space="0" w:color="auto"/>
            </w:tcBorders>
            <w:shd w:val="clear" w:color="auto" w:fill="auto"/>
            <w:noWrap/>
            <w:vAlign w:val="bottom"/>
            <w:hideMark/>
          </w:tcPr>
          <w:p w14:paraId="6C6F8709"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Denmark</w:t>
            </w:r>
          </w:p>
        </w:tc>
        <w:tc>
          <w:tcPr>
            <w:tcW w:w="1552" w:type="dxa"/>
            <w:tcBorders>
              <w:top w:val="nil"/>
              <w:left w:val="nil"/>
              <w:bottom w:val="single" w:sz="4" w:space="0" w:color="auto"/>
              <w:right w:val="single" w:sz="4" w:space="0" w:color="auto"/>
            </w:tcBorders>
            <w:shd w:val="clear" w:color="auto" w:fill="auto"/>
            <w:noWrap/>
            <w:vAlign w:val="bottom"/>
            <w:hideMark/>
          </w:tcPr>
          <w:p w14:paraId="0D9C6380"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Argentina</w:t>
            </w:r>
          </w:p>
        </w:tc>
      </w:tr>
      <w:tr w:rsidR="00D4479C" w:rsidRPr="00D4479C" w14:paraId="2DF300FE" w14:textId="77777777" w:rsidTr="00D4479C">
        <w:trPr>
          <w:trHeight w:val="446"/>
        </w:trPr>
        <w:tc>
          <w:tcPr>
            <w:tcW w:w="634" w:type="dxa"/>
            <w:tcBorders>
              <w:top w:val="nil"/>
              <w:left w:val="single" w:sz="4" w:space="0" w:color="auto"/>
              <w:bottom w:val="single" w:sz="4" w:space="0" w:color="auto"/>
              <w:right w:val="single" w:sz="4" w:space="0" w:color="auto"/>
            </w:tcBorders>
            <w:shd w:val="clear" w:color="auto" w:fill="auto"/>
            <w:noWrap/>
            <w:vAlign w:val="bottom"/>
            <w:hideMark/>
          </w:tcPr>
          <w:p w14:paraId="3586240B" w14:textId="77777777" w:rsidR="00D4479C" w:rsidRPr="00D4479C" w:rsidRDefault="00D4479C" w:rsidP="00D4479C">
            <w:pPr>
              <w:spacing w:after="0" w:line="240" w:lineRule="auto"/>
              <w:jc w:val="right"/>
              <w:rPr>
                <w:rFonts w:ascii="Calibri" w:eastAsia="Times New Roman" w:hAnsi="Calibri" w:cs="Calibri"/>
                <w:color w:val="000000"/>
              </w:rPr>
            </w:pPr>
            <w:r w:rsidRPr="00D4479C">
              <w:rPr>
                <w:rFonts w:ascii="Calibri" w:eastAsia="Times New Roman" w:hAnsi="Calibri" w:cs="Calibri"/>
                <w:color w:val="000000"/>
              </w:rPr>
              <w:t>6</w:t>
            </w:r>
          </w:p>
        </w:tc>
        <w:tc>
          <w:tcPr>
            <w:tcW w:w="1699" w:type="dxa"/>
            <w:tcBorders>
              <w:top w:val="nil"/>
              <w:left w:val="nil"/>
              <w:bottom w:val="single" w:sz="4" w:space="0" w:color="auto"/>
              <w:right w:val="single" w:sz="4" w:space="0" w:color="auto"/>
            </w:tcBorders>
            <w:shd w:val="clear" w:color="auto" w:fill="auto"/>
            <w:noWrap/>
            <w:vAlign w:val="bottom"/>
            <w:hideMark/>
          </w:tcPr>
          <w:p w14:paraId="76217B1B"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Uruguay</w:t>
            </w:r>
          </w:p>
        </w:tc>
        <w:tc>
          <w:tcPr>
            <w:tcW w:w="1496" w:type="dxa"/>
            <w:tcBorders>
              <w:top w:val="nil"/>
              <w:left w:val="nil"/>
              <w:bottom w:val="single" w:sz="4" w:space="0" w:color="auto"/>
              <w:right w:val="single" w:sz="4" w:space="0" w:color="auto"/>
            </w:tcBorders>
            <w:shd w:val="clear" w:color="auto" w:fill="auto"/>
            <w:noWrap/>
            <w:vAlign w:val="bottom"/>
            <w:hideMark/>
          </w:tcPr>
          <w:p w14:paraId="7D7CB517"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Romania</w:t>
            </w:r>
          </w:p>
        </w:tc>
        <w:tc>
          <w:tcPr>
            <w:tcW w:w="1643" w:type="dxa"/>
            <w:tcBorders>
              <w:top w:val="nil"/>
              <w:left w:val="nil"/>
              <w:bottom w:val="single" w:sz="4" w:space="0" w:color="auto"/>
              <w:right w:val="single" w:sz="4" w:space="0" w:color="auto"/>
            </w:tcBorders>
            <w:shd w:val="clear" w:color="auto" w:fill="auto"/>
            <w:noWrap/>
            <w:vAlign w:val="bottom"/>
            <w:hideMark/>
          </w:tcPr>
          <w:p w14:paraId="343C1DFB"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Argentina</w:t>
            </w:r>
          </w:p>
        </w:tc>
        <w:tc>
          <w:tcPr>
            <w:tcW w:w="1460" w:type="dxa"/>
            <w:tcBorders>
              <w:top w:val="nil"/>
              <w:left w:val="nil"/>
              <w:bottom w:val="single" w:sz="4" w:space="0" w:color="auto"/>
              <w:right w:val="single" w:sz="4" w:space="0" w:color="auto"/>
            </w:tcBorders>
            <w:shd w:val="clear" w:color="auto" w:fill="auto"/>
            <w:noWrap/>
            <w:vAlign w:val="bottom"/>
            <w:hideMark/>
          </w:tcPr>
          <w:p w14:paraId="0156EBF2"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China</w:t>
            </w:r>
          </w:p>
        </w:tc>
        <w:tc>
          <w:tcPr>
            <w:tcW w:w="1552" w:type="dxa"/>
            <w:tcBorders>
              <w:top w:val="nil"/>
              <w:left w:val="nil"/>
              <w:bottom w:val="single" w:sz="4" w:space="0" w:color="auto"/>
              <w:right w:val="single" w:sz="4" w:space="0" w:color="auto"/>
            </w:tcBorders>
            <w:shd w:val="clear" w:color="auto" w:fill="auto"/>
            <w:noWrap/>
            <w:vAlign w:val="bottom"/>
            <w:hideMark/>
          </w:tcPr>
          <w:p w14:paraId="7EA65A82"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Netherlands</w:t>
            </w:r>
          </w:p>
        </w:tc>
        <w:tc>
          <w:tcPr>
            <w:tcW w:w="1552" w:type="dxa"/>
            <w:tcBorders>
              <w:top w:val="nil"/>
              <w:left w:val="nil"/>
              <w:bottom w:val="single" w:sz="4" w:space="0" w:color="auto"/>
              <w:right w:val="single" w:sz="4" w:space="0" w:color="auto"/>
            </w:tcBorders>
            <w:shd w:val="clear" w:color="auto" w:fill="auto"/>
            <w:noWrap/>
            <w:vAlign w:val="bottom"/>
            <w:hideMark/>
          </w:tcPr>
          <w:p w14:paraId="4EEB24E3"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Netherlands</w:t>
            </w:r>
          </w:p>
        </w:tc>
      </w:tr>
      <w:tr w:rsidR="00D4479C" w:rsidRPr="00D4479C" w14:paraId="1B09161B" w14:textId="77777777" w:rsidTr="00D4479C">
        <w:trPr>
          <w:trHeight w:val="446"/>
        </w:trPr>
        <w:tc>
          <w:tcPr>
            <w:tcW w:w="634" w:type="dxa"/>
            <w:tcBorders>
              <w:top w:val="nil"/>
              <w:left w:val="single" w:sz="4" w:space="0" w:color="auto"/>
              <w:bottom w:val="single" w:sz="4" w:space="0" w:color="auto"/>
              <w:right w:val="single" w:sz="4" w:space="0" w:color="auto"/>
            </w:tcBorders>
            <w:shd w:val="clear" w:color="auto" w:fill="auto"/>
            <w:noWrap/>
            <w:vAlign w:val="bottom"/>
            <w:hideMark/>
          </w:tcPr>
          <w:p w14:paraId="5E79D2A9" w14:textId="77777777" w:rsidR="00D4479C" w:rsidRPr="00D4479C" w:rsidRDefault="00D4479C" w:rsidP="00D4479C">
            <w:pPr>
              <w:spacing w:after="0" w:line="240" w:lineRule="auto"/>
              <w:jc w:val="right"/>
              <w:rPr>
                <w:rFonts w:ascii="Calibri" w:eastAsia="Times New Roman" w:hAnsi="Calibri" w:cs="Calibri"/>
                <w:color w:val="000000"/>
              </w:rPr>
            </w:pPr>
            <w:r w:rsidRPr="00D4479C">
              <w:rPr>
                <w:rFonts w:ascii="Calibri" w:eastAsia="Times New Roman" w:hAnsi="Calibri" w:cs="Calibri"/>
                <w:color w:val="000000"/>
              </w:rPr>
              <w:t>7</w:t>
            </w:r>
          </w:p>
        </w:tc>
        <w:tc>
          <w:tcPr>
            <w:tcW w:w="1699" w:type="dxa"/>
            <w:tcBorders>
              <w:top w:val="nil"/>
              <w:left w:val="nil"/>
              <w:bottom w:val="single" w:sz="4" w:space="0" w:color="auto"/>
              <w:right w:val="single" w:sz="4" w:space="0" w:color="auto"/>
            </w:tcBorders>
            <w:shd w:val="clear" w:color="auto" w:fill="auto"/>
            <w:noWrap/>
            <w:vAlign w:val="bottom"/>
            <w:hideMark/>
          </w:tcPr>
          <w:p w14:paraId="029374B1"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Ukraine</w:t>
            </w:r>
          </w:p>
        </w:tc>
        <w:tc>
          <w:tcPr>
            <w:tcW w:w="1496" w:type="dxa"/>
            <w:tcBorders>
              <w:top w:val="nil"/>
              <w:left w:val="nil"/>
              <w:bottom w:val="single" w:sz="4" w:space="0" w:color="auto"/>
              <w:right w:val="single" w:sz="4" w:space="0" w:color="auto"/>
            </w:tcBorders>
            <w:shd w:val="clear" w:color="auto" w:fill="auto"/>
            <w:noWrap/>
            <w:vAlign w:val="bottom"/>
            <w:hideMark/>
          </w:tcPr>
          <w:p w14:paraId="6DF04EDD"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Hungary</w:t>
            </w:r>
          </w:p>
        </w:tc>
        <w:tc>
          <w:tcPr>
            <w:tcW w:w="1643" w:type="dxa"/>
            <w:tcBorders>
              <w:top w:val="nil"/>
              <w:left w:val="nil"/>
              <w:bottom w:val="single" w:sz="4" w:space="0" w:color="auto"/>
              <w:right w:val="single" w:sz="4" w:space="0" w:color="auto"/>
            </w:tcBorders>
            <w:shd w:val="clear" w:color="auto" w:fill="auto"/>
            <w:noWrap/>
            <w:vAlign w:val="bottom"/>
            <w:hideMark/>
          </w:tcPr>
          <w:p w14:paraId="370E66B4"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Australia</w:t>
            </w:r>
          </w:p>
        </w:tc>
        <w:tc>
          <w:tcPr>
            <w:tcW w:w="1460" w:type="dxa"/>
            <w:tcBorders>
              <w:top w:val="nil"/>
              <w:left w:val="nil"/>
              <w:bottom w:val="single" w:sz="4" w:space="0" w:color="auto"/>
              <w:right w:val="single" w:sz="4" w:space="0" w:color="auto"/>
            </w:tcBorders>
            <w:shd w:val="clear" w:color="auto" w:fill="auto"/>
            <w:noWrap/>
            <w:vAlign w:val="bottom"/>
            <w:hideMark/>
          </w:tcPr>
          <w:p w14:paraId="3E86DFE2"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Myanmar</w:t>
            </w:r>
          </w:p>
        </w:tc>
        <w:tc>
          <w:tcPr>
            <w:tcW w:w="1552" w:type="dxa"/>
            <w:tcBorders>
              <w:top w:val="nil"/>
              <w:left w:val="nil"/>
              <w:bottom w:val="single" w:sz="4" w:space="0" w:color="auto"/>
              <w:right w:val="single" w:sz="4" w:space="0" w:color="auto"/>
            </w:tcBorders>
            <w:shd w:val="clear" w:color="auto" w:fill="auto"/>
            <w:noWrap/>
            <w:vAlign w:val="bottom"/>
            <w:hideMark/>
          </w:tcPr>
          <w:p w14:paraId="5747A86F"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Brazil</w:t>
            </w:r>
          </w:p>
        </w:tc>
        <w:tc>
          <w:tcPr>
            <w:tcW w:w="1552" w:type="dxa"/>
            <w:tcBorders>
              <w:top w:val="nil"/>
              <w:left w:val="nil"/>
              <w:bottom w:val="single" w:sz="4" w:space="0" w:color="auto"/>
              <w:right w:val="single" w:sz="4" w:space="0" w:color="auto"/>
            </w:tcBorders>
            <w:shd w:val="clear" w:color="auto" w:fill="auto"/>
            <w:noWrap/>
            <w:vAlign w:val="bottom"/>
            <w:hideMark/>
          </w:tcPr>
          <w:p w14:paraId="7315812A"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New Zealand</w:t>
            </w:r>
          </w:p>
        </w:tc>
      </w:tr>
      <w:tr w:rsidR="00D4479C" w:rsidRPr="00D4479C" w14:paraId="492E3403" w14:textId="77777777" w:rsidTr="00D4479C">
        <w:trPr>
          <w:trHeight w:val="446"/>
        </w:trPr>
        <w:tc>
          <w:tcPr>
            <w:tcW w:w="634" w:type="dxa"/>
            <w:tcBorders>
              <w:top w:val="nil"/>
              <w:left w:val="single" w:sz="4" w:space="0" w:color="auto"/>
              <w:bottom w:val="single" w:sz="4" w:space="0" w:color="auto"/>
              <w:right w:val="single" w:sz="4" w:space="0" w:color="auto"/>
            </w:tcBorders>
            <w:shd w:val="clear" w:color="auto" w:fill="auto"/>
            <w:noWrap/>
            <w:vAlign w:val="bottom"/>
            <w:hideMark/>
          </w:tcPr>
          <w:p w14:paraId="46A1C860" w14:textId="77777777" w:rsidR="00D4479C" w:rsidRPr="00D4479C" w:rsidRDefault="00D4479C" w:rsidP="00D4479C">
            <w:pPr>
              <w:spacing w:after="0" w:line="240" w:lineRule="auto"/>
              <w:jc w:val="right"/>
              <w:rPr>
                <w:rFonts w:ascii="Calibri" w:eastAsia="Times New Roman" w:hAnsi="Calibri" w:cs="Calibri"/>
                <w:color w:val="000000"/>
              </w:rPr>
            </w:pPr>
            <w:r w:rsidRPr="00D4479C">
              <w:rPr>
                <w:rFonts w:ascii="Calibri" w:eastAsia="Times New Roman" w:hAnsi="Calibri" w:cs="Calibri"/>
                <w:color w:val="000000"/>
              </w:rPr>
              <w:t>8</w:t>
            </w:r>
          </w:p>
        </w:tc>
        <w:tc>
          <w:tcPr>
            <w:tcW w:w="1699" w:type="dxa"/>
            <w:tcBorders>
              <w:top w:val="nil"/>
              <w:left w:val="nil"/>
              <w:bottom w:val="single" w:sz="4" w:space="0" w:color="auto"/>
              <w:right w:val="single" w:sz="4" w:space="0" w:color="auto"/>
            </w:tcBorders>
            <w:shd w:val="clear" w:color="auto" w:fill="auto"/>
            <w:noWrap/>
            <w:vAlign w:val="bottom"/>
            <w:hideMark/>
          </w:tcPr>
          <w:p w14:paraId="4790D80D"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Netherlands</w:t>
            </w:r>
          </w:p>
        </w:tc>
        <w:tc>
          <w:tcPr>
            <w:tcW w:w="1496" w:type="dxa"/>
            <w:tcBorders>
              <w:top w:val="nil"/>
              <w:left w:val="nil"/>
              <w:bottom w:val="single" w:sz="4" w:space="0" w:color="auto"/>
              <w:right w:val="single" w:sz="4" w:space="0" w:color="auto"/>
            </w:tcBorders>
            <w:shd w:val="clear" w:color="auto" w:fill="auto"/>
            <w:noWrap/>
            <w:vAlign w:val="bottom"/>
            <w:hideMark/>
          </w:tcPr>
          <w:p w14:paraId="1ABD4803"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Serbia</w:t>
            </w:r>
          </w:p>
        </w:tc>
        <w:tc>
          <w:tcPr>
            <w:tcW w:w="1643" w:type="dxa"/>
            <w:tcBorders>
              <w:top w:val="nil"/>
              <w:left w:val="nil"/>
              <w:bottom w:val="single" w:sz="4" w:space="0" w:color="auto"/>
              <w:right w:val="single" w:sz="4" w:space="0" w:color="auto"/>
            </w:tcBorders>
            <w:shd w:val="clear" w:color="auto" w:fill="auto"/>
            <w:noWrap/>
            <w:vAlign w:val="bottom"/>
            <w:hideMark/>
          </w:tcPr>
          <w:p w14:paraId="6A805408"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Germany</w:t>
            </w:r>
          </w:p>
        </w:tc>
        <w:tc>
          <w:tcPr>
            <w:tcW w:w="1460" w:type="dxa"/>
            <w:tcBorders>
              <w:top w:val="nil"/>
              <w:left w:val="nil"/>
              <w:bottom w:val="single" w:sz="4" w:space="0" w:color="auto"/>
              <w:right w:val="single" w:sz="4" w:space="0" w:color="auto"/>
            </w:tcBorders>
            <w:shd w:val="clear" w:color="auto" w:fill="auto"/>
            <w:noWrap/>
            <w:vAlign w:val="bottom"/>
            <w:hideMark/>
          </w:tcPr>
          <w:p w14:paraId="5824B8E8"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Italy</w:t>
            </w:r>
          </w:p>
        </w:tc>
        <w:tc>
          <w:tcPr>
            <w:tcW w:w="1552" w:type="dxa"/>
            <w:tcBorders>
              <w:top w:val="nil"/>
              <w:left w:val="nil"/>
              <w:bottom w:val="single" w:sz="4" w:space="0" w:color="auto"/>
              <w:right w:val="single" w:sz="4" w:space="0" w:color="auto"/>
            </w:tcBorders>
            <w:shd w:val="clear" w:color="auto" w:fill="auto"/>
            <w:noWrap/>
            <w:vAlign w:val="bottom"/>
            <w:hideMark/>
          </w:tcPr>
          <w:p w14:paraId="13D67BBE"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Belgium</w:t>
            </w:r>
          </w:p>
        </w:tc>
        <w:tc>
          <w:tcPr>
            <w:tcW w:w="1552" w:type="dxa"/>
            <w:tcBorders>
              <w:top w:val="nil"/>
              <w:left w:val="nil"/>
              <w:bottom w:val="single" w:sz="4" w:space="0" w:color="auto"/>
              <w:right w:val="single" w:sz="4" w:space="0" w:color="auto"/>
            </w:tcBorders>
            <w:shd w:val="clear" w:color="auto" w:fill="auto"/>
            <w:noWrap/>
            <w:vAlign w:val="bottom"/>
            <w:hideMark/>
          </w:tcPr>
          <w:p w14:paraId="2655EB3C"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Canada</w:t>
            </w:r>
          </w:p>
        </w:tc>
      </w:tr>
      <w:tr w:rsidR="00D4479C" w:rsidRPr="00D4479C" w14:paraId="4772A7E7" w14:textId="77777777" w:rsidTr="00D4479C">
        <w:trPr>
          <w:trHeight w:val="446"/>
        </w:trPr>
        <w:tc>
          <w:tcPr>
            <w:tcW w:w="634" w:type="dxa"/>
            <w:tcBorders>
              <w:top w:val="nil"/>
              <w:left w:val="single" w:sz="4" w:space="0" w:color="auto"/>
              <w:bottom w:val="single" w:sz="4" w:space="0" w:color="auto"/>
              <w:right w:val="single" w:sz="4" w:space="0" w:color="auto"/>
            </w:tcBorders>
            <w:shd w:val="clear" w:color="auto" w:fill="auto"/>
            <w:noWrap/>
            <w:vAlign w:val="bottom"/>
            <w:hideMark/>
          </w:tcPr>
          <w:p w14:paraId="0C8E416B" w14:textId="77777777" w:rsidR="00D4479C" w:rsidRPr="00D4479C" w:rsidRDefault="00D4479C" w:rsidP="00D4479C">
            <w:pPr>
              <w:spacing w:after="0" w:line="240" w:lineRule="auto"/>
              <w:jc w:val="right"/>
              <w:rPr>
                <w:rFonts w:ascii="Calibri" w:eastAsia="Times New Roman" w:hAnsi="Calibri" w:cs="Calibri"/>
                <w:color w:val="000000"/>
              </w:rPr>
            </w:pPr>
            <w:r w:rsidRPr="00D4479C">
              <w:rPr>
                <w:rFonts w:ascii="Calibri" w:eastAsia="Times New Roman" w:hAnsi="Calibri" w:cs="Calibri"/>
                <w:color w:val="000000"/>
              </w:rPr>
              <w:t>9</w:t>
            </w:r>
          </w:p>
        </w:tc>
        <w:tc>
          <w:tcPr>
            <w:tcW w:w="1699" w:type="dxa"/>
            <w:tcBorders>
              <w:top w:val="nil"/>
              <w:left w:val="nil"/>
              <w:bottom w:val="single" w:sz="4" w:space="0" w:color="auto"/>
              <w:right w:val="single" w:sz="4" w:space="0" w:color="auto"/>
            </w:tcBorders>
            <w:shd w:val="clear" w:color="auto" w:fill="auto"/>
            <w:noWrap/>
            <w:vAlign w:val="bottom"/>
            <w:hideMark/>
          </w:tcPr>
          <w:p w14:paraId="48704FAE"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Russia</w:t>
            </w:r>
          </w:p>
        </w:tc>
        <w:tc>
          <w:tcPr>
            <w:tcW w:w="1496" w:type="dxa"/>
            <w:tcBorders>
              <w:top w:val="nil"/>
              <w:left w:val="nil"/>
              <w:bottom w:val="single" w:sz="4" w:space="0" w:color="auto"/>
              <w:right w:val="single" w:sz="4" w:space="0" w:color="auto"/>
            </w:tcBorders>
            <w:shd w:val="clear" w:color="auto" w:fill="auto"/>
            <w:noWrap/>
            <w:vAlign w:val="bottom"/>
            <w:hideMark/>
          </w:tcPr>
          <w:p w14:paraId="17ADADB1"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South Africa</w:t>
            </w:r>
          </w:p>
        </w:tc>
        <w:tc>
          <w:tcPr>
            <w:tcW w:w="1643" w:type="dxa"/>
            <w:tcBorders>
              <w:top w:val="nil"/>
              <w:left w:val="nil"/>
              <w:bottom w:val="single" w:sz="4" w:space="0" w:color="auto"/>
              <w:right w:val="single" w:sz="4" w:space="0" w:color="auto"/>
            </w:tcBorders>
            <w:shd w:val="clear" w:color="auto" w:fill="auto"/>
            <w:noWrap/>
            <w:vAlign w:val="bottom"/>
            <w:hideMark/>
          </w:tcPr>
          <w:p w14:paraId="7CED0CDB"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Kazakhstan</w:t>
            </w:r>
          </w:p>
        </w:tc>
        <w:tc>
          <w:tcPr>
            <w:tcW w:w="1460" w:type="dxa"/>
            <w:tcBorders>
              <w:top w:val="nil"/>
              <w:left w:val="nil"/>
              <w:bottom w:val="single" w:sz="4" w:space="0" w:color="auto"/>
              <w:right w:val="single" w:sz="4" w:space="0" w:color="auto"/>
            </w:tcBorders>
            <w:shd w:val="clear" w:color="auto" w:fill="auto"/>
            <w:noWrap/>
            <w:vAlign w:val="bottom"/>
            <w:hideMark/>
          </w:tcPr>
          <w:p w14:paraId="2D13182F"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Brazil</w:t>
            </w:r>
          </w:p>
        </w:tc>
        <w:tc>
          <w:tcPr>
            <w:tcW w:w="1552" w:type="dxa"/>
            <w:tcBorders>
              <w:top w:val="nil"/>
              <w:left w:val="nil"/>
              <w:bottom w:val="single" w:sz="4" w:space="0" w:color="auto"/>
              <w:right w:val="single" w:sz="4" w:space="0" w:color="auto"/>
            </w:tcBorders>
            <w:shd w:val="clear" w:color="auto" w:fill="auto"/>
            <w:noWrap/>
            <w:vAlign w:val="bottom"/>
            <w:hideMark/>
          </w:tcPr>
          <w:p w14:paraId="509388D5"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France</w:t>
            </w:r>
          </w:p>
        </w:tc>
        <w:tc>
          <w:tcPr>
            <w:tcW w:w="1552" w:type="dxa"/>
            <w:tcBorders>
              <w:top w:val="nil"/>
              <w:left w:val="nil"/>
              <w:bottom w:val="single" w:sz="4" w:space="0" w:color="auto"/>
              <w:right w:val="single" w:sz="4" w:space="0" w:color="auto"/>
            </w:tcBorders>
            <w:shd w:val="clear" w:color="auto" w:fill="auto"/>
            <w:noWrap/>
            <w:vAlign w:val="bottom"/>
            <w:hideMark/>
          </w:tcPr>
          <w:p w14:paraId="46F53157"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Ireland</w:t>
            </w:r>
          </w:p>
        </w:tc>
      </w:tr>
      <w:tr w:rsidR="00D4479C" w:rsidRPr="00D4479C" w14:paraId="6E4F972A" w14:textId="77777777" w:rsidTr="00D4479C">
        <w:trPr>
          <w:trHeight w:val="446"/>
        </w:trPr>
        <w:tc>
          <w:tcPr>
            <w:tcW w:w="634" w:type="dxa"/>
            <w:tcBorders>
              <w:top w:val="nil"/>
              <w:left w:val="single" w:sz="4" w:space="0" w:color="auto"/>
              <w:bottom w:val="single" w:sz="4" w:space="0" w:color="auto"/>
              <w:right w:val="single" w:sz="4" w:space="0" w:color="auto"/>
            </w:tcBorders>
            <w:shd w:val="clear" w:color="auto" w:fill="auto"/>
            <w:noWrap/>
            <w:vAlign w:val="bottom"/>
            <w:hideMark/>
          </w:tcPr>
          <w:p w14:paraId="14A025D5" w14:textId="77777777" w:rsidR="00D4479C" w:rsidRPr="00D4479C" w:rsidRDefault="00D4479C" w:rsidP="00D4479C">
            <w:pPr>
              <w:spacing w:after="0" w:line="240" w:lineRule="auto"/>
              <w:jc w:val="right"/>
              <w:rPr>
                <w:rFonts w:ascii="Calibri" w:eastAsia="Times New Roman" w:hAnsi="Calibri" w:cs="Calibri"/>
                <w:color w:val="000000"/>
              </w:rPr>
            </w:pPr>
            <w:r w:rsidRPr="00D4479C">
              <w:rPr>
                <w:rFonts w:ascii="Calibri" w:eastAsia="Times New Roman" w:hAnsi="Calibri" w:cs="Calibri"/>
                <w:color w:val="000000"/>
              </w:rPr>
              <w:t>10</w:t>
            </w:r>
          </w:p>
        </w:tc>
        <w:tc>
          <w:tcPr>
            <w:tcW w:w="1699" w:type="dxa"/>
            <w:tcBorders>
              <w:top w:val="nil"/>
              <w:left w:val="nil"/>
              <w:bottom w:val="single" w:sz="4" w:space="0" w:color="auto"/>
              <w:right w:val="single" w:sz="4" w:space="0" w:color="auto"/>
            </w:tcBorders>
            <w:shd w:val="clear" w:color="auto" w:fill="auto"/>
            <w:noWrap/>
            <w:vAlign w:val="bottom"/>
            <w:hideMark/>
          </w:tcPr>
          <w:p w14:paraId="5ED818D8"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Benin</w:t>
            </w:r>
          </w:p>
        </w:tc>
        <w:tc>
          <w:tcPr>
            <w:tcW w:w="1496" w:type="dxa"/>
            <w:tcBorders>
              <w:top w:val="nil"/>
              <w:left w:val="nil"/>
              <w:bottom w:val="single" w:sz="4" w:space="0" w:color="auto"/>
              <w:right w:val="single" w:sz="4" w:space="0" w:color="auto"/>
            </w:tcBorders>
            <w:shd w:val="clear" w:color="auto" w:fill="auto"/>
            <w:noWrap/>
            <w:vAlign w:val="bottom"/>
            <w:hideMark/>
          </w:tcPr>
          <w:p w14:paraId="233E06B7"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Bulgaria</w:t>
            </w:r>
          </w:p>
        </w:tc>
        <w:tc>
          <w:tcPr>
            <w:tcW w:w="1643" w:type="dxa"/>
            <w:tcBorders>
              <w:top w:val="nil"/>
              <w:left w:val="nil"/>
              <w:bottom w:val="single" w:sz="4" w:space="0" w:color="auto"/>
              <w:right w:val="single" w:sz="4" w:space="0" w:color="auto"/>
            </w:tcBorders>
            <w:shd w:val="clear" w:color="auto" w:fill="auto"/>
            <w:noWrap/>
            <w:vAlign w:val="bottom"/>
            <w:hideMark/>
          </w:tcPr>
          <w:p w14:paraId="1D9451B4"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Poland</w:t>
            </w:r>
          </w:p>
        </w:tc>
        <w:tc>
          <w:tcPr>
            <w:tcW w:w="1460" w:type="dxa"/>
            <w:tcBorders>
              <w:top w:val="nil"/>
              <w:left w:val="nil"/>
              <w:bottom w:val="single" w:sz="4" w:space="0" w:color="auto"/>
              <w:right w:val="single" w:sz="4" w:space="0" w:color="auto"/>
            </w:tcBorders>
            <w:shd w:val="clear" w:color="auto" w:fill="auto"/>
            <w:noWrap/>
            <w:vAlign w:val="bottom"/>
            <w:hideMark/>
          </w:tcPr>
          <w:p w14:paraId="5E0F3B35"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Cambodia</w:t>
            </w:r>
          </w:p>
        </w:tc>
        <w:tc>
          <w:tcPr>
            <w:tcW w:w="1552" w:type="dxa"/>
            <w:tcBorders>
              <w:top w:val="nil"/>
              <w:left w:val="nil"/>
              <w:bottom w:val="single" w:sz="4" w:space="0" w:color="auto"/>
              <w:right w:val="single" w:sz="4" w:space="0" w:color="auto"/>
            </w:tcBorders>
            <w:shd w:val="clear" w:color="auto" w:fill="auto"/>
            <w:noWrap/>
            <w:vAlign w:val="bottom"/>
            <w:hideMark/>
          </w:tcPr>
          <w:p w14:paraId="095F51C6"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Mexico</w:t>
            </w:r>
          </w:p>
        </w:tc>
        <w:tc>
          <w:tcPr>
            <w:tcW w:w="1552" w:type="dxa"/>
            <w:tcBorders>
              <w:top w:val="nil"/>
              <w:left w:val="nil"/>
              <w:bottom w:val="single" w:sz="4" w:space="0" w:color="auto"/>
              <w:right w:val="single" w:sz="4" w:space="0" w:color="auto"/>
            </w:tcBorders>
            <w:shd w:val="clear" w:color="auto" w:fill="auto"/>
            <w:noWrap/>
            <w:vAlign w:val="bottom"/>
            <w:hideMark/>
          </w:tcPr>
          <w:p w14:paraId="28D0D386" w14:textId="77777777" w:rsidR="00D4479C" w:rsidRPr="00D4479C" w:rsidRDefault="00D4479C" w:rsidP="00D4479C">
            <w:pPr>
              <w:spacing w:after="0" w:line="240" w:lineRule="auto"/>
              <w:rPr>
                <w:rFonts w:ascii="Calibri" w:eastAsia="Times New Roman" w:hAnsi="Calibri" w:cs="Calibri"/>
                <w:color w:val="000000"/>
              </w:rPr>
            </w:pPr>
            <w:r w:rsidRPr="00D4479C">
              <w:rPr>
                <w:rFonts w:ascii="Calibri" w:eastAsia="Times New Roman" w:hAnsi="Calibri" w:cs="Calibri"/>
                <w:color w:val="000000"/>
              </w:rPr>
              <w:t>Uruguay</w:t>
            </w:r>
          </w:p>
        </w:tc>
      </w:tr>
    </w:tbl>
    <w:p w14:paraId="30F4A747" w14:textId="20363743" w:rsidR="003D7888" w:rsidRDefault="003D7888" w:rsidP="003D7888">
      <w:pPr>
        <w:jc w:val="right"/>
        <w:rPr>
          <w:rFonts w:ascii="Times New Roman" w:hAnsi="Times New Roman" w:cs="Times New Roman"/>
          <w:sz w:val="24"/>
          <w:szCs w:val="24"/>
        </w:rPr>
      </w:pPr>
    </w:p>
    <w:p w14:paraId="6D87239E" w14:textId="65EFE6E4" w:rsidR="00B86888" w:rsidRPr="00B86888" w:rsidRDefault="00456336" w:rsidP="00AC3A7A">
      <w:pPr>
        <w:rPr>
          <w:rFonts w:ascii="Times New Roman" w:hAnsi="Times New Roman" w:cs="Times New Roman"/>
          <w:sz w:val="24"/>
          <w:szCs w:val="24"/>
        </w:rPr>
      </w:pPr>
      <w:r>
        <w:rPr>
          <w:noProof/>
        </w:rPr>
        <w:drawing>
          <wp:inline distT="0" distB="0" distL="0" distR="0" wp14:anchorId="2B49B496" wp14:editId="6AD0C3AE">
            <wp:extent cx="6187440" cy="2964180"/>
            <wp:effectExtent l="0" t="0" r="3810" b="7620"/>
            <wp:docPr id="12" name="Chart 12">
              <a:extLst xmlns:a="http://schemas.openxmlformats.org/drawingml/2006/main">
                <a:ext uri="{FF2B5EF4-FFF2-40B4-BE49-F238E27FC236}">
                  <a16:creationId xmlns:a16="http://schemas.microsoft.com/office/drawing/2014/main" id="{2149E5FA-BAB9-414E-B81E-DBFBB610AE7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49B5FB6" w14:textId="16A9073B" w:rsidR="00AC3A7A" w:rsidRPr="00AC3A7A" w:rsidRDefault="00AC3A7A" w:rsidP="00AC3A7A">
      <w:pPr>
        <w:rPr>
          <w:rFonts w:ascii="Times New Roman" w:hAnsi="Times New Roman" w:cs="Times New Roman"/>
          <w:b/>
          <w:bCs/>
          <w:sz w:val="24"/>
          <w:szCs w:val="24"/>
          <w:u w:val="single"/>
        </w:rPr>
      </w:pPr>
      <w:r w:rsidRPr="00AC3A7A">
        <w:rPr>
          <w:rFonts w:ascii="Times New Roman" w:hAnsi="Times New Roman" w:cs="Times New Roman"/>
          <w:b/>
          <w:bCs/>
          <w:sz w:val="24"/>
          <w:szCs w:val="24"/>
          <w:u w:val="single"/>
        </w:rPr>
        <w:lastRenderedPageBreak/>
        <w:t>Commodity Exporter Strength</w:t>
      </w:r>
    </w:p>
    <w:p w14:paraId="3756A7C7" w14:textId="27A00C1F" w:rsidR="00B86888" w:rsidRDefault="00AC3A7A" w:rsidP="00AC3A7A">
      <w:pPr>
        <w:rPr>
          <w:rFonts w:ascii="Times New Roman" w:hAnsi="Times New Roman" w:cs="Times New Roman"/>
          <w:sz w:val="24"/>
          <w:szCs w:val="24"/>
        </w:rPr>
      </w:pPr>
      <w:r w:rsidRPr="00C02731">
        <w:rPr>
          <w:rFonts w:ascii="Times New Roman" w:hAnsi="Times New Roman" w:cs="Times New Roman"/>
          <w:sz w:val="24"/>
          <w:szCs w:val="24"/>
        </w:rPr>
        <w:t>Calculating an average score, based on the positions for each nation across the largest commodities</w:t>
      </w:r>
      <w:r w:rsidR="00B86888">
        <w:rPr>
          <w:rFonts w:ascii="Times New Roman" w:hAnsi="Times New Roman" w:cs="Times New Roman"/>
          <w:sz w:val="24"/>
          <w:szCs w:val="24"/>
        </w:rPr>
        <w:t>,</w:t>
      </w:r>
      <w:r w:rsidRPr="00C02731">
        <w:rPr>
          <w:rFonts w:ascii="Times New Roman" w:hAnsi="Times New Roman" w:cs="Times New Roman"/>
          <w:sz w:val="24"/>
          <w:szCs w:val="24"/>
        </w:rPr>
        <w:t xml:space="preserve"> illustrates those nations with the most to gain from rising agricultural commodity prices. Cumulative ranking scores</w:t>
      </w:r>
      <w:r w:rsidR="00B86888">
        <w:rPr>
          <w:rFonts w:ascii="Times New Roman" w:hAnsi="Times New Roman" w:cs="Times New Roman"/>
          <w:sz w:val="24"/>
          <w:szCs w:val="24"/>
        </w:rPr>
        <w:t xml:space="preserve">, </w:t>
      </w:r>
      <w:r w:rsidR="00B86888" w:rsidRPr="00B86888">
        <w:rPr>
          <w:rFonts w:ascii="Times New Roman" w:hAnsi="Times New Roman" w:cs="Times New Roman"/>
          <w:sz w:val="24"/>
          <w:szCs w:val="24"/>
          <w:highlight w:val="darkGreen"/>
        </w:rPr>
        <w:t>(Green)</w:t>
      </w:r>
      <w:r w:rsidR="00B86888">
        <w:rPr>
          <w:rFonts w:ascii="Times New Roman" w:hAnsi="Times New Roman" w:cs="Times New Roman"/>
          <w:sz w:val="24"/>
          <w:szCs w:val="24"/>
        </w:rPr>
        <w:t>,</w:t>
      </w:r>
      <w:r w:rsidRPr="00C02731">
        <w:rPr>
          <w:rFonts w:ascii="Times New Roman" w:hAnsi="Times New Roman" w:cs="Times New Roman"/>
          <w:sz w:val="24"/>
          <w:szCs w:val="24"/>
        </w:rPr>
        <w:t xml:space="preserve"> reflect diversity export performance and overall strength. </w:t>
      </w:r>
      <w:r w:rsidR="00B86888">
        <w:rPr>
          <w:rFonts w:ascii="Times New Roman" w:hAnsi="Times New Roman" w:cs="Times New Roman"/>
          <w:sz w:val="24"/>
          <w:szCs w:val="24"/>
        </w:rPr>
        <w:t xml:space="preserve">Vaccination administration percentages, </w:t>
      </w:r>
      <w:r w:rsidR="00B86888" w:rsidRPr="00B86888">
        <w:rPr>
          <w:rFonts w:ascii="Times New Roman" w:hAnsi="Times New Roman" w:cs="Times New Roman"/>
          <w:sz w:val="24"/>
          <w:szCs w:val="24"/>
          <w:highlight w:val="red"/>
        </w:rPr>
        <w:t>(Red)</w:t>
      </w:r>
      <w:r w:rsidR="00B86888" w:rsidRPr="00B86888">
        <w:rPr>
          <w:rFonts w:ascii="Times New Roman" w:hAnsi="Times New Roman" w:cs="Times New Roman"/>
          <w:sz w:val="24"/>
          <w:szCs w:val="24"/>
        </w:rPr>
        <w:t>,</w:t>
      </w:r>
      <w:r w:rsidR="00B86888">
        <w:rPr>
          <w:rFonts w:ascii="Times New Roman" w:hAnsi="Times New Roman" w:cs="Times New Roman"/>
          <w:sz w:val="24"/>
          <w:szCs w:val="24"/>
        </w:rPr>
        <w:t xml:space="preserve"> are used as a proxy to measure the effectiveness of a nations Covid-19 response. Capitalizing on high agricultural commodity prices requires strong performance in both categories in the graph above. </w:t>
      </w:r>
      <w:r w:rsidR="007D165F">
        <w:rPr>
          <w:rFonts w:ascii="Times New Roman" w:hAnsi="Times New Roman" w:cs="Times New Roman"/>
          <w:sz w:val="24"/>
          <w:szCs w:val="24"/>
        </w:rPr>
        <w:t xml:space="preserve">Strong responses from Canada, Spain, and the Netherlands, represent increased opportunities. In contrast, the ineffective responses by nations such as Brazil and Russia represent opportunities lost. </w:t>
      </w:r>
    </w:p>
    <w:p w14:paraId="57B38954" w14:textId="0277D923" w:rsidR="00AC3A7A" w:rsidRDefault="00AC3A7A" w:rsidP="00AC3A7A">
      <w:pPr>
        <w:rPr>
          <w:rFonts w:ascii="Times New Roman" w:hAnsi="Times New Roman" w:cs="Times New Roman"/>
          <w:color w:val="202124"/>
          <w:sz w:val="24"/>
          <w:szCs w:val="24"/>
          <w:shd w:val="clear" w:color="auto" w:fill="FFFFFF"/>
        </w:rPr>
      </w:pPr>
      <w:r w:rsidRPr="00C02731">
        <w:rPr>
          <w:rFonts w:ascii="Times New Roman" w:hAnsi="Times New Roman" w:cs="Times New Roman"/>
          <w:sz w:val="24"/>
          <w:szCs w:val="24"/>
        </w:rPr>
        <w:t xml:space="preserve">The United States dominance across sectors scores them significantly higher than Russia and Spain, which are present in far fewer categories. </w:t>
      </w:r>
      <w:r w:rsidR="00C02731" w:rsidRPr="00C02731">
        <w:rPr>
          <w:rFonts w:ascii="Times New Roman" w:hAnsi="Times New Roman" w:cs="Times New Roman"/>
          <w:sz w:val="24"/>
          <w:szCs w:val="24"/>
        </w:rPr>
        <w:t>The Netherlands ability to place in three categories is admirable given their limited</w:t>
      </w:r>
      <w:r w:rsidR="007D165F">
        <w:rPr>
          <w:rFonts w:ascii="Times New Roman" w:hAnsi="Times New Roman" w:cs="Times New Roman"/>
          <w:sz w:val="24"/>
          <w:szCs w:val="24"/>
        </w:rPr>
        <w:t xml:space="preserve"> geographic</w:t>
      </w:r>
      <w:r w:rsidR="00C02731" w:rsidRPr="00C02731">
        <w:rPr>
          <w:rFonts w:ascii="Times New Roman" w:hAnsi="Times New Roman" w:cs="Times New Roman"/>
          <w:sz w:val="24"/>
          <w:szCs w:val="24"/>
        </w:rPr>
        <w:t xml:space="preserve"> size. </w:t>
      </w:r>
      <w:r w:rsidR="00C02731" w:rsidRPr="00C02731">
        <w:rPr>
          <w:rFonts w:ascii="Times New Roman" w:hAnsi="Times New Roman" w:cs="Times New Roman"/>
          <w:color w:val="202124"/>
          <w:sz w:val="24"/>
          <w:szCs w:val="24"/>
          <w:shd w:val="clear" w:color="auto" w:fill="FFFFFF"/>
        </w:rPr>
        <w:t xml:space="preserve">Jamón </w:t>
      </w:r>
      <w:r w:rsidR="00C02731">
        <w:rPr>
          <w:rFonts w:ascii="Times New Roman" w:hAnsi="Times New Roman" w:cs="Times New Roman"/>
          <w:color w:val="202124"/>
          <w:sz w:val="24"/>
          <w:szCs w:val="24"/>
          <w:shd w:val="clear" w:color="auto" w:fill="FFFFFF"/>
        </w:rPr>
        <w:t>I</w:t>
      </w:r>
      <w:r w:rsidR="00C02731" w:rsidRPr="00C02731">
        <w:rPr>
          <w:rFonts w:ascii="Times New Roman" w:hAnsi="Times New Roman" w:cs="Times New Roman"/>
          <w:color w:val="202124"/>
          <w:sz w:val="24"/>
          <w:szCs w:val="24"/>
          <w:shd w:val="clear" w:color="auto" w:fill="FFFFFF"/>
        </w:rPr>
        <w:t>bérico</w:t>
      </w:r>
      <w:r w:rsidR="00C02731">
        <w:rPr>
          <w:rFonts w:ascii="Times New Roman" w:hAnsi="Times New Roman" w:cs="Times New Roman"/>
          <w:color w:val="202124"/>
          <w:sz w:val="24"/>
          <w:szCs w:val="24"/>
          <w:shd w:val="clear" w:color="auto" w:fill="FFFFFF"/>
        </w:rPr>
        <w:t xml:space="preserve">, and other upmarket pork goods secured Spain’s place as the world’s top exporter of Lean Hogs. Geographic and climatic conditions also factor greatly into the type and efficiency of agriculture. For example, Russian dominance in wheat exports cannot be easily translated to corn or rice production at similar levels of efficiency. </w:t>
      </w:r>
      <w:r w:rsidR="007D165F">
        <w:rPr>
          <w:rFonts w:ascii="Times New Roman" w:hAnsi="Times New Roman" w:cs="Times New Roman"/>
          <w:color w:val="202124"/>
          <w:sz w:val="24"/>
          <w:szCs w:val="24"/>
          <w:shd w:val="clear" w:color="auto" w:fill="FFFFFF"/>
        </w:rPr>
        <w:t>The diverse array of climates in the United States contribute to the nation’s strong performance across categories, and their top position in Cumulative Score metric.</w:t>
      </w:r>
    </w:p>
    <w:p w14:paraId="6850FB02" w14:textId="7A085EB9" w:rsidR="00C02731" w:rsidRDefault="00C02731" w:rsidP="00AC3A7A">
      <w:pPr>
        <w:rPr>
          <w:rFonts w:ascii="Times New Roman" w:hAnsi="Times New Roman" w:cs="Times New Roman"/>
          <w:b/>
          <w:bCs/>
          <w:color w:val="202124"/>
          <w:sz w:val="24"/>
          <w:szCs w:val="24"/>
          <w:u w:val="single"/>
          <w:shd w:val="clear" w:color="auto" w:fill="FFFFFF"/>
        </w:rPr>
      </w:pPr>
      <w:r>
        <w:rPr>
          <w:rFonts w:ascii="Times New Roman" w:hAnsi="Times New Roman" w:cs="Times New Roman"/>
          <w:b/>
          <w:bCs/>
          <w:color w:val="202124"/>
          <w:sz w:val="24"/>
          <w:szCs w:val="24"/>
          <w:u w:val="single"/>
          <w:shd w:val="clear" w:color="auto" w:fill="FFFFFF"/>
        </w:rPr>
        <w:t>Financial Markets</w:t>
      </w:r>
      <w:r w:rsidR="00B4083B">
        <w:rPr>
          <w:rFonts w:ascii="Times New Roman" w:hAnsi="Times New Roman" w:cs="Times New Roman"/>
          <w:b/>
          <w:bCs/>
          <w:color w:val="202124"/>
          <w:sz w:val="24"/>
          <w:szCs w:val="24"/>
          <w:u w:val="single"/>
          <w:shd w:val="clear" w:color="auto" w:fill="FFFFFF"/>
        </w:rPr>
        <w:t xml:space="preserve"> &amp; Covid-19</w:t>
      </w:r>
    </w:p>
    <w:p w14:paraId="63EB4225" w14:textId="10D4A808" w:rsidR="00C02731" w:rsidRDefault="00C02731" w:rsidP="00AC3A7A">
      <w:pPr>
        <w:rPr>
          <w:rFonts w:ascii="Times New Roman" w:hAnsi="Times New Roman" w:cs="Times New Roman"/>
          <w:color w:val="202124"/>
          <w:sz w:val="24"/>
          <w:szCs w:val="24"/>
          <w:shd w:val="clear" w:color="auto" w:fill="FFFFFF"/>
        </w:rPr>
      </w:pPr>
      <w:r>
        <w:rPr>
          <w:rFonts w:ascii="Times New Roman" w:hAnsi="Times New Roman" w:cs="Times New Roman"/>
          <w:color w:val="202124"/>
          <w:sz w:val="24"/>
          <w:szCs w:val="24"/>
          <w:shd w:val="clear" w:color="auto" w:fill="FFFFFF"/>
        </w:rPr>
        <w:t xml:space="preserve">The long-term impacts of Covid-19, as well as the subsequent lockdowns and economic stimulus are yet unknown. In the short-term, </w:t>
      </w:r>
      <w:r w:rsidR="007D165F">
        <w:rPr>
          <w:rFonts w:ascii="Times New Roman" w:hAnsi="Times New Roman" w:cs="Times New Roman"/>
          <w:color w:val="202124"/>
          <w:sz w:val="24"/>
          <w:szCs w:val="24"/>
          <w:shd w:val="clear" w:color="auto" w:fill="FFFFFF"/>
        </w:rPr>
        <w:t>inflation has followed the</w:t>
      </w:r>
      <w:r>
        <w:rPr>
          <w:rFonts w:ascii="Times New Roman" w:hAnsi="Times New Roman" w:cs="Times New Roman"/>
          <w:color w:val="202124"/>
          <w:sz w:val="24"/>
          <w:szCs w:val="24"/>
          <w:shd w:val="clear" w:color="auto" w:fill="FFFFFF"/>
        </w:rPr>
        <w:t xml:space="preserve"> unprecedented levels of monetary and credit expansion. Increased levels of inflation have been felt across the majority of sectors</w:t>
      </w:r>
      <w:r w:rsidR="003F636F">
        <w:rPr>
          <w:rFonts w:ascii="Times New Roman" w:hAnsi="Times New Roman" w:cs="Times New Roman"/>
          <w:color w:val="202124"/>
          <w:sz w:val="24"/>
          <w:szCs w:val="24"/>
          <w:shd w:val="clear" w:color="auto" w:fill="FFFFFF"/>
        </w:rPr>
        <w:t xml:space="preserve">, and commodities such as lumber have experienced unprecedented volatility. Examining the largest of agricultural commodities eliminated the higher levels of volatility experienced in smaller market-cap and niche products. </w:t>
      </w:r>
    </w:p>
    <w:p w14:paraId="3DEAABA9" w14:textId="17AA0422" w:rsidR="003F636F" w:rsidRDefault="003F636F" w:rsidP="00AC3A7A">
      <w:pPr>
        <w:rPr>
          <w:rFonts w:ascii="Times New Roman" w:hAnsi="Times New Roman" w:cs="Times New Roman"/>
          <w:color w:val="202124"/>
          <w:sz w:val="24"/>
          <w:szCs w:val="24"/>
          <w:shd w:val="clear" w:color="auto" w:fill="FFFFFF"/>
        </w:rPr>
      </w:pPr>
      <w:r>
        <w:rPr>
          <w:rFonts w:ascii="Times New Roman" w:hAnsi="Times New Roman" w:cs="Times New Roman"/>
          <w:color w:val="202124"/>
          <w:sz w:val="24"/>
          <w:szCs w:val="24"/>
          <w:shd w:val="clear" w:color="auto" w:fill="FFFFFF"/>
        </w:rPr>
        <w:t xml:space="preserve">Price increases reflected on international exchanges are not fully absorbed by the productive nations, as transportation and logistical costs often rise in </w:t>
      </w:r>
      <w:r w:rsidR="00C0066B">
        <w:rPr>
          <w:rFonts w:ascii="Times New Roman" w:hAnsi="Times New Roman" w:cs="Times New Roman"/>
          <w:color w:val="202124"/>
          <w:sz w:val="24"/>
          <w:szCs w:val="24"/>
          <w:shd w:val="clear" w:color="auto" w:fill="FFFFFF"/>
        </w:rPr>
        <w:t>parallel</w:t>
      </w:r>
      <w:r>
        <w:rPr>
          <w:rFonts w:ascii="Times New Roman" w:hAnsi="Times New Roman" w:cs="Times New Roman"/>
          <w:color w:val="202124"/>
          <w:sz w:val="24"/>
          <w:szCs w:val="24"/>
          <w:shd w:val="clear" w:color="auto" w:fill="FFFFFF"/>
        </w:rPr>
        <w:t>. Furthermore, the recent rise of oil and petroleum prices has increased the input costs for farmers</w:t>
      </w:r>
      <w:r w:rsidR="00C0066B">
        <w:rPr>
          <w:rFonts w:ascii="Times New Roman" w:hAnsi="Times New Roman" w:cs="Times New Roman"/>
          <w:color w:val="202124"/>
          <w:sz w:val="24"/>
          <w:szCs w:val="24"/>
          <w:shd w:val="clear" w:color="auto" w:fill="FFFFFF"/>
        </w:rPr>
        <w:t>,</w:t>
      </w:r>
      <w:r>
        <w:rPr>
          <w:rFonts w:ascii="Times New Roman" w:hAnsi="Times New Roman" w:cs="Times New Roman"/>
          <w:color w:val="202124"/>
          <w:sz w:val="24"/>
          <w:szCs w:val="24"/>
          <w:shd w:val="clear" w:color="auto" w:fill="FFFFFF"/>
        </w:rPr>
        <w:t xml:space="preserve"> fuel and fertilizer prices </w:t>
      </w:r>
      <w:r w:rsidR="00C0066B">
        <w:rPr>
          <w:rFonts w:ascii="Times New Roman" w:hAnsi="Times New Roman" w:cs="Times New Roman"/>
          <w:color w:val="202124"/>
          <w:sz w:val="24"/>
          <w:szCs w:val="24"/>
          <w:shd w:val="clear" w:color="auto" w:fill="FFFFFF"/>
        </w:rPr>
        <w:t xml:space="preserve">typically </w:t>
      </w:r>
      <w:r>
        <w:rPr>
          <w:rFonts w:ascii="Times New Roman" w:hAnsi="Times New Roman" w:cs="Times New Roman"/>
          <w:color w:val="202124"/>
          <w:sz w:val="24"/>
          <w:szCs w:val="24"/>
          <w:shd w:val="clear" w:color="auto" w:fill="FFFFFF"/>
        </w:rPr>
        <w:t>rise alongside their petroleum bases. National governments individual responses to Covid-19</w:t>
      </w:r>
      <w:r w:rsidR="00C0066B">
        <w:rPr>
          <w:rFonts w:ascii="Times New Roman" w:hAnsi="Times New Roman" w:cs="Times New Roman"/>
          <w:color w:val="202124"/>
          <w:sz w:val="24"/>
          <w:szCs w:val="24"/>
          <w:shd w:val="clear" w:color="auto" w:fill="FFFFFF"/>
        </w:rPr>
        <w:t>,</w:t>
      </w:r>
      <w:r>
        <w:rPr>
          <w:rFonts w:ascii="Times New Roman" w:hAnsi="Times New Roman" w:cs="Times New Roman"/>
          <w:color w:val="202124"/>
          <w:sz w:val="24"/>
          <w:szCs w:val="24"/>
          <w:shd w:val="clear" w:color="auto" w:fill="FFFFFF"/>
        </w:rPr>
        <w:t xml:space="preserve"> and the subsequent economic fallout</w:t>
      </w:r>
      <w:r w:rsidR="00C0066B">
        <w:rPr>
          <w:rFonts w:ascii="Times New Roman" w:hAnsi="Times New Roman" w:cs="Times New Roman"/>
          <w:color w:val="202124"/>
          <w:sz w:val="24"/>
          <w:szCs w:val="24"/>
          <w:shd w:val="clear" w:color="auto" w:fill="FFFFFF"/>
        </w:rPr>
        <w:t>,</w:t>
      </w:r>
      <w:r>
        <w:rPr>
          <w:rFonts w:ascii="Times New Roman" w:hAnsi="Times New Roman" w:cs="Times New Roman"/>
          <w:color w:val="202124"/>
          <w:sz w:val="24"/>
          <w:szCs w:val="24"/>
          <w:shd w:val="clear" w:color="auto" w:fill="FFFFFF"/>
        </w:rPr>
        <w:t xml:space="preserve"> have greatly impacted national economic performances. Access to credit, comparative currency valuations, trade restrictions, and regulations on labor are all key factors in the success and profitability of a nations agricultural sector. </w:t>
      </w:r>
    </w:p>
    <w:p w14:paraId="487C555C" w14:textId="50F88AA2" w:rsidR="007C3D3B" w:rsidRPr="00C0066B" w:rsidRDefault="003F636F" w:rsidP="00AC3A7A">
      <w:pPr>
        <w:rPr>
          <w:rFonts w:ascii="Times New Roman" w:hAnsi="Times New Roman" w:cs="Times New Roman"/>
          <w:color w:val="202124"/>
          <w:sz w:val="24"/>
          <w:szCs w:val="24"/>
          <w:shd w:val="clear" w:color="auto" w:fill="FFFFFF"/>
        </w:rPr>
      </w:pPr>
      <w:r>
        <w:rPr>
          <w:rFonts w:ascii="Times New Roman" w:hAnsi="Times New Roman" w:cs="Times New Roman"/>
          <w:color w:val="202124"/>
          <w:sz w:val="24"/>
          <w:szCs w:val="24"/>
          <w:shd w:val="clear" w:color="auto" w:fill="FFFFFF"/>
        </w:rPr>
        <w:t>With agricultural prices outpacing inflation, increased profits from agricultural exports are accessible to those nations which most effectively managed their Covid-19 response. The United States, though cautious in their vaccine testing and deployment has since emerged as a world leader</w:t>
      </w:r>
      <w:r w:rsidR="00C0066B">
        <w:rPr>
          <w:rFonts w:ascii="Times New Roman" w:hAnsi="Times New Roman" w:cs="Times New Roman"/>
          <w:color w:val="202124"/>
          <w:sz w:val="24"/>
          <w:szCs w:val="24"/>
          <w:shd w:val="clear" w:color="auto" w:fill="FFFFFF"/>
        </w:rPr>
        <w:t xml:space="preserve"> in pandemic response</w:t>
      </w:r>
      <w:r>
        <w:rPr>
          <w:rFonts w:ascii="Times New Roman" w:hAnsi="Times New Roman" w:cs="Times New Roman"/>
          <w:color w:val="202124"/>
          <w:sz w:val="24"/>
          <w:szCs w:val="24"/>
          <w:shd w:val="clear" w:color="auto" w:fill="FFFFFF"/>
        </w:rPr>
        <w:t>. The early champions of Covid</w:t>
      </w:r>
      <w:r w:rsidR="00B4083B">
        <w:rPr>
          <w:rFonts w:ascii="Times New Roman" w:hAnsi="Times New Roman" w:cs="Times New Roman"/>
          <w:color w:val="202124"/>
          <w:sz w:val="24"/>
          <w:szCs w:val="24"/>
          <w:shd w:val="clear" w:color="auto" w:fill="FFFFFF"/>
        </w:rPr>
        <w:t>-19 response, Taiwan, South Korea, and Japan</w:t>
      </w:r>
      <w:r w:rsidR="00C0066B">
        <w:rPr>
          <w:rFonts w:ascii="Times New Roman" w:hAnsi="Times New Roman" w:cs="Times New Roman"/>
          <w:color w:val="202124"/>
          <w:sz w:val="24"/>
          <w:szCs w:val="24"/>
          <w:shd w:val="clear" w:color="auto" w:fill="FFFFFF"/>
        </w:rPr>
        <w:t>,</w:t>
      </w:r>
      <w:r w:rsidR="00B4083B">
        <w:rPr>
          <w:rFonts w:ascii="Times New Roman" w:hAnsi="Times New Roman" w:cs="Times New Roman"/>
          <w:color w:val="202124"/>
          <w:sz w:val="24"/>
          <w:szCs w:val="24"/>
          <w:shd w:val="clear" w:color="auto" w:fill="FFFFFF"/>
        </w:rPr>
        <w:t xml:space="preserve"> are notably absent from the list of top agricultural exporters. Inversely, Brazil has struggled disproportionately with the health impact</w:t>
      </w:r>
      <w:r w:rsidR="00C0066B">
        <w:rPr>
          <w:rFonts w:ascii="Times New Roman" w:hAnsi="Times New Roman" w:cs="Times New Roman"/>
          <w:color w:val="202124"/>
          <w:sz w:val="24"/>
          <w:szCs w:val="24"/>
          <w:shd w:val="clear" w:color="auto" w:fill="FFFFFF"/>
        </w:rPr>
        <w:t>s</w:t>
      </w:r>
      <w:r w:rsidR="00B4083B">
        <w:rPr>
          <w:rFonts w:ascii="Times New Roman" w:hAnsi="Times New Roman" w:cs="Times New Roman"/>
          <w:color w:val="202124"/>
          <w:sz w:val="24"/>
          <w:szCs w:val="24"/>
          <w:shd w:val="clear" w:color="auto" w:fill="FFFFFF"/>
        </w:rPr>
        <w:t xml:space="preserve"> of Covid-19. Agricultural exporters with effective responses to Covid-19</w:t>
      </w:r>
      <w:r w:rsidR="00C0066B">
        <w:rPr>
          <w:rFonts w:ascii="Times New Roman" w:hAnsi="Times New Roman" w:cs="Times New Roman"/>
          <w:color w:val="202124"/>
          <w:sz w:val="24"/>
          <w:szCs w:val="24"/>
          <w:shd w:val="clear" w:color="auto" w:fill="FFFFFF"/>
        </w:rPr>
        <w:t>,</w:t>
      </w:r>
      <w:r w:rsidR="00B4083B">
        <w:rPr>
          <w:rFonts w:ascii="Times New Roman" w:hAnsi="Times New Roman" w:cs="Times New Roman"/>
          <w:color w:val="202124"/>
          <w:sz w:val="24"/>
          <w:szCs w:val="24"/>
          <w:shd w:val="clear" w:color="auto" w:fill="FFFFFF"/>
        </w:rPr>
        <w:t xml:space="preserve"> have</w:t>
      </w:r>
      <w:r w:rsidR="00C0066B">
        <w:rPr>
          <w:rFonts w:ascii="Times New Roman" w:hAnsi="Times New Roman" w:cs="Times New Roman"/>
          <w:color w:val="202124"/>
          <w:sz w:val="24"/>
          <w:szCs w:val="24"/>
          <w:shd w:val="clear" w:color="auto" w:fill="FFFFFF"/>
        </w:rPr>
        <w:t>,</w:t>
      </w:r>
      <w:r w:rsidR="00B4083B">
        <w:rPr>
          <w:rFonts w:ascii="Times New Roman" w:hAnsi="Times New Roman" w:cs="Times New Roman"/>
          <w:color w:val="202124"/>
          <w:sz w:val="24"/>
          <w:szCs w:val="24"/>
          <w:shd w:val="clear" w:color="auto" w:fill="FFFFFF"/>
        </w:rPr>
        <w:t xml:space="preserve"> and will</w:t>
      </w:r>
      <w:r w:rsidR="00C0066B">
        <w:rPr>
          <w:rFonts w:ascii="Times New Roman" w:hAnsi="Times New Roman" w:cs="Times New Roman"/>
          <w:color w:val="202124"/>
          <w:sz w:val="24"/>
          <w:szCs w:val="24"/>
          <w:shd w:val="clear" w:color="auto" w:fill="FFFFFF"/>
        </w:rPr>
        <w:t>,</w:t>
      </w:r>
      <w:r w:rsidR="00B4083B">
        <w:rPr>
          <w:rFonts w:ascii="Times New Roman" w:hAnsi="Times New Roman" w:cs="Times New Roman"/>
          <w:color w:val="202124"/>
          <w:sz w:val="24"/>
          <w:szCs w:val="24"/>
          <w:shd w:val="clear" w:color="auto" w:fill="FFFFFF"/>
        </w:rPr>
        <w:t xml:space="preserve"> continue to benefit greatly from rising agricultural commodity prices. </w:t>
      </w:r>
      <w:r>
        <w:rPr>
          <w:rFonts w:ascii="Times New Roman" w:hAnsi="Times New Roman" w:cs="Times New Roman"/>
          <w:color w:val="202124"/>
          <w:sz w:val="24"/>
          <w:szCs w:val="24"/>
          <w:shd w:val="clear" w:color="auto" w:fill="FFFFFF"/>
        </w:rPr>
        <w:t xml:space="preserve"> </w:t>
      </w:r>
    </w:p>
    <w:p w14:paraId="083EB101" w14:textId="3841A8D9" w:rsidR="007C3D3B" w:rsidRDefault="001651C0" w:rsidP="00AC3A7A">
      <w:pPr>
        <w:rPr>
          <w:rFonts w:ascii="Times New Roman" w:hAnsi="Times New Roman" w:cs="Times New Roman"/>
          <w:color w:val="202124"/>
          <w:sz w:val="24"/>
          <w:szCs w:val="24"/>
          <w:shd w:val="clear" w:color="auto" w:fill="FFFFFF"/>
        </w:rPr>
      </w:pPr>
      <w:r w:rsidRPr="001651C0">
        <w:rPr>
          <w:rFonts w:ascii="Times New Roman" w:hAnsi="Times New Roman" w:cs="Times New Roman"/>
          <w:noProof/>
          <w:color w:val="202124"/>
          <w:sz w:val="24"/>
          <w:szCs w:val="24"/>
          <w:shd w:val="clear" w:color="auto" w:fill="FFFFFF"/>
        </w:rPr>
        <w:lastRenderedPageBreak/>
        <mc:AlternateContent>
          <mc:Choice Requires="wps">
            <w:drawing>
              <wp:anchor distT="45720" distB="45720" distL="114300" distR="114300" simplePos="0" relativeHeight="251667456" behindDoc="0" locked="0" layoutInCell="1" allowOverlap="1" wp14:anchorId="41C2F22E" wp14:editId="48CD458F">
                <wp:simplePos x="0" y="0"/>
                <wp:positionH relativeFrom="column">
                  <wp:posOffset>4632960</wp:posOffset>
                </wp:positionH>
                <wp:positionV relativeFrom="paragraph">
                  <wp:posOffset>30480</wp:posOffset>
                </wp:positionV>
                <wp:extent cx="2156460" cy="3421380"/>
                <wp:effectExtent l="0" t="0" r="15240" b="26670"/>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6460" cy="3421380"/>
                        </a:xfrm>
                        <a:prstGeom prst="rect">
                          <a:avLst/>
                        </a:prstGeom>
                        <a:solidFill>
                          <a:srgbClr val="FFFFFF"/>
                        </a:solidFill>
                        <a:ln w="9525">
                          <a:solidFill>
                            <a:srgbClr val="000000"/>
                          </a:solidFill>
                          <a:miter lim="800000"/>
                          <a:headEnd/>
                          <a:tailEnd/>
                        </a:ln>
                      </wps:spPr>
                      <wps:txbx>
                        <w:txbxContent>
                          <w:p w14:paraId="73B7442D" w14:textId="2F10A877" w:rsidR="001651C0" w:rsidRPr="001651C0" w:rsidRDefault="001651C0">
                            <w:pPr>
                              <w:rPr>
                                <w:rFonts w:ascii="Times New Roman" w:hAnsi="Times New Roman" w:cs="Times New Roman"/>
                                <w:sz w:val="28"/>
                                <w:szCs w:val="28"/>
                              </w:rPr>
                            </w:pPr>
                            <w:r w:rsidRPr="001651C0">
                              <w:rPr>
                                <w:rFonts w:ascii="Times New Roman" w:hAnsi="Times New Roman" w:cs="Times New Roman"/>
                                <w:sz w:val="28"/>
                                <w:szCs w:val="28"/>
                              </w:rPr>
                              <w:t xml:space="preserve">Just as the major food exporters stand to gain from agricultural commodity prices outpacing inflation, food importers experience rising prices as a cost. Most notably, the Middle-East, North-East Asia, and pockets of Africa, which rely heavily on food imports, are set to face food prices </w:t>
                            </w:r>
                            <w:r w:rsidR="00C0066B">
                              <w:rPr>
                                <w:rFonts w:ascii="Times New Roman" w:hAnsi="Times New Roman" w:cs="Times New Roman"/>
                                <w:sz w:val="28"/>
                                <w:szCs w:val="28"/>
                              </w:rPr>
                              <w:t xml:space="preserve">increases </w:t>
                            </w:r>
                            <w:r w:rsidRPr="001651C0">
                              <w:rPr>
                                <w:rFonts w:ascii="Times New Roman" w:hAnsi="Times New Roman" w:cs="Times New Roman"/>
                                <w:sz w:val="28"/>
                                <w:szCs w:val="28"/>
                              </w:rPr>
                              <w:t xml:space="preserve">amidst an ongoing pandemic.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C2F22E" id="_x0000_s1029" type="#_x0000_t202" style="position:absolute;margin-left:364.8pt;margin-top:2.4pt;width:169.8pt;height:269.4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">
                <v:textbox>
                  <w:txbxContent>
                    <w:p w14:paraId="73B7442D" w14:textId="2F10A877" w:rsidR="001651C0" w:rsidRPr="001651C0" w:rsidRDefault="001651C0">
                      <w:pPr>
                        <w:rPr>
                          <w:rFonts w:ascii="Times New Roman" w:hAnsi="Times New Roman" w:cs="Times New Roman"/>
                          <w:sz w:val="28"/>
                          <w:szCs w:val="28"/>
                        </w:rPr>
                      </w:pPr>
                      <w:r w:rsidRPr="001651C0">
                        <w:rPr>
                          <w:rFonts w:ascii="Times New Roman" w:hAnsi="Times New Roman" w:cs="Times New Roman"/>
                          <w:sz w:val="28"/>
                          <w:szCs w:val="28"/>
                        </w:rPr>
                        <w:t xml:space="preserve">Just as the major food exporters stand to gain from agricultural commodity prices outpacing inflation, food importers experience rising prices as a cost. Most notably, the Middle-East, North-East Asia, and pockets of Africa, which rely heavily on food imports, are set to face food prices </w:t>
                      </w:r>
                      <w:r w:rsidR="00C0066B">
                        <w:rPr>
                          <w:rFonts w:ascii="Times New Roman" w:hAnsi="Times New Roman" w:cs="Times New Roman"/>
                          <w:sz w:val="28"/>
                          <w:szCs w:val="28"/>
                        </w:rPr>
                        <w:t xml:space="preserve">increases </w:t>
                      </w:r>
                      <w:r w:rsidRPr="001651C0">
                        <w:rPr>
                          <w:rFonts w:ascii="Times New Roman" w:hAnsi="Times New Roman" w:cs="Times New Roman"/>
                          <w:sz w:val="28"/>
                          <w:szCs w:val="28"/>
                        </w:rPr>
                        <w:t xml:space="preserve">amidst an ongoing pandemic. </w:t>
                      </w:r>
                    </w:p>
                  </w:txbxContent>
                </v:textbox>
                <w10:wrap type="square"/>
              </v:shape>
            </w:pict>
          </mc:Fallback>
        </mc:AlternateContent>
      </w:r>
      <w:r w:rsidR="007C3D3B">
        <w:rPr>
          <w:noProof/>
        </w:rPr>
        <w:drawing>
          <wp:inline distT="0" distB="0" distL="0" distR="0" wp14:anchorId="2866D29B" wp14:editId="53EE03F0">
            <wp:extent cx="4426569" cy="3318510"/>
            <wp:effectExtent l="38100" t="38100" r="31750" b="34290"/>
            <wp:docPr id="14" name="Picture 14" descr="Countries Are Starting to Hoard Food, Threatening Global Trade | 2020-03-30  | SupplyChainBr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ountries Are Starting to Hoard Food, Threatening Global Trade | 2020-03-30  | SupplyChainBrain"/>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504789" cy="3377150"/>
                    </a:xfrm>
                    <a:prstGeom prst="rect">
                      <a:avLst/>
                    </a:prstGeom>
                    <a:noFill/>
                    <a:ln w="22225">
                      <a:solidFill>
                        <a:schemeClr val="accent1"/>
                      </a:solidFill>
                    </a:ln>
                  </pic:spPr>
                </pic:pic>
              </a:graphicData>
            </a:graphic>
          </wp:inline>
        </w:drawing>
      </w:r>
    </w:p>
    <w:p w14:paraId="463B9D44" w14:textId="77777777" w:rsidR="003F636F" w:rsidRPr="00C02731" w:rsidRDefault="003F636F" w:rsidP="00AC3A7A">
      <w:pPr>
        <w:rPr>
          <w:rFonts w:ascii="Times New Roman" w:hAnsi="Times New Roman" w:cs="Times New Roman"/>
          <w:sz w:val="24"/>
          <w:szCs w:val="24"/>
        </w:rPr>
      </w:pPr>
    </w:p>
    <w:p w14:paraId="06C10FBD" w14:textId="632FAB10" w:rsidR="00C02731" w:rsidRDefault="00C02731" w:rsidP="00AC3A7A">
      <w:pPr>
        <w:rPr>
          <w:rFonts w:ascii="Times New Roman" w:hAnsi="Times New Roman" w:cs="Times New Roman"/>
          <w:sz w:val="24"/>
          <w:szCs w:val="24"/>
        </w:rPr>
      </w:pPr>
    </w:p>
    <w:p w14:paraId="5CE7E9A1" w14:textId="77777777" w:rsidR="00AC3A7A" w:rsidRDefault="00AC3A7A" w:rsidP="00AC3A7A">
      <w:pPr>
        <w:rPr>
          <w:rFonts w:ascii="Times New Roman" w:hAnsi="Times New Roman" w:cs="Times New Roman"/>
          <w:sz w:val="24"/>
          <w:szCs w:val="24"/>
        </w:rPr>
      </w:pPr>
    </w:p>
    <w:p w14:paraId="7A7AC8B2" w14:textId="7F302B0B" w:rsidR="00285839" w:rsidRPr="00285839" w:rsidRDefault="00285839" w:rsidP="00285839">
      <w:pPr>
        <w:ind w:firstLine="720"/>
        <w:rPr>
          <w:rFonts w:ascii="Times New Roman" w:hAnsi="Times New Roman" w:cs="Times New Roman"/>
          <w:sz w:val="24"/>
          <w:szCs w:val="24"/>
        </w:rPr>
      </w:pPr>
    </w:p>
    <w:sectPr w:rsidR="00285839" w:rsidRPr="0028583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FA7AA7" w14:textId="77777777" w:rsidR="00D836BB" w:rsidRDefault="00D836BB" w:rsidP="00AC3A7A">
      <w:pPr>
        <w:spacing w:after="0" w:line="240" w:lineRule="auto"/>
      </w:pPr>
      <w:r>
        <w:separator/>
      </w:r>
    </w:p>
  </w:endnote>
  <w:endnote w:type="continuationSeparator" w:id="0">
    <w:p w14:paraId="76880F44" w14:textId="77777777" w:rsidR="00D836BB" w:rsidRDefault="00D836BB" w:rsidP="00AC3A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0E3265" w14:textId="77777777" w:rsidR="00D836BB" w:rsidRDefault="00D836BB" w:rsidP="00AC3A7A">
      <w:pPr>
        <w:spacing w:after="0" w:line="240" w:lineRule="auto"/>
      </w:pPr>
      <w:r>
        <w:separator/>
      </w:r>
    </w:p>
  </w:footnote>
  <w:footnote w:type="continuationSeparator" w:id="0">
    <w:p w14:paraId="3E8F17E5" w14:textId="77777777" w:rsidR="00D836BB" w:rsidRDefault="00D836BB" w:rsidP="00AC3A7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888"/>
    <w:rsid w:val="001651C0"/>
    <w:rsid w:val="001B0D00"/>
    <w:rsid w:val="0028286E"/>
    <w:rsid w:val="00285839"/>
    <w:rsid w:val="00292BC8"/>
    <w:rsid w:val="00367637"/>
    <w:rsid w:val="003D7888"/>
    <w:rsid w:val="003F636F"/>
    <w:rsid w:val="0044548C"/>
    <w:rsid w:val="00456336"/>
    <w:rsid w:val="00492079"/>
    <w:rsid w:val="00692DA8"/>
    <w:rsid w:val="007C3D3B"/>
    <w:rsid w:val="007D165F"/>
    <w:rsid w:val="007E1CF1"/>
    <w:rsid w:val="00AC3A7A"/>
    <w:rsid w:val="00B4083B"/>
    <w:rsid w:val="00B86888"/>
    <w:rsid w:val="00BD4102"/>
    <w:rsid w:val="00C0066B"/>
    <w:rsid w:val="00C02731"/>
    <w:rsid w:val="00D4479C"/>
    <w:rsid w:val="00D836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C28DB"/>
  <w15:chartTrackingRefBased/>
  <w15:docId w15:val="{5BD32155-AE4F-4B9F-90DD-4A94C77A8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D7888"/>
    <w:rPr>
      <w:color w:val="0563C1" w:themeColor="hyperlink"/>
      <w:u w:val="single"/>
    </w:rPr>
  </w:style>
  <w:style w:type="character" w:styleId="UnresolvedMention">
    <w:name w:val="Unresolved Mention"/>
    <w:basedOn w:val="DefaultParagraphFont"/>
    <w:uiPriority w:val="99"/>
    <w:semiHidden/>
    <w:unhideWhenUsed/>
    <w:rsid w:val="003D7888"/>
    <w:rPr>
      <w:color w:val="605E5C"/>
      <w:shd w:val="clear" w:color="auto" w:fill="E1DFDD"/>
    </w:rPr>
  </w:style>
  <w:style w:type="paragraph" w:styleId="Header">
    <w:name w:val="header"/>
    <w:basedOn w:val="Normal"/>
    <w:link w:val="HeaderChar"/>
    <w:uiPriority w:val="99"/>
    <w:unhideWhenUsed/>
    <w:rsid w:val="00AC3A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C3A7A"/>
  </w:style>
  <w:style w:type="paragraph" w:styleId="Footer">
    <w:name w:val="footer"/>
    <w:basedOn w:val="Normal"/>
    <w:link w:val="FooterChar"/>
    <w:uiPriority w:val="99"/>
    <w:unhideWhenUsed/>
    <w:rsid w:val="00AC3A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C3A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6217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chart" Target="charts/chart1.xml"/><Relationship Id="rId12"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globalaffairswithgregayres.com/" TargetMode="External"/><Relationship Id="rId11" Type="http://schemas.openxmlformats.org/officeDocument/2006/relationships/chart" Target="charts/chart3.xml"/><Relationship Id="rId5" Type="http://schemas.openxmlformats.org/officeDocument/2006/relationships/endnotes" Target="endnotes.xml"/><Relationship Id="rId10" Type="http://schemas.openxmlformats.org/officeDocument/2006/relationships/image" Target="media/image2.jpeg"/><Relationship Id="rId4" Type="http://schemas.openxmlformats.org/officeDocument/2006/relationships/footnotes" Target="footnotes.xml"/><Relationship Id="rId9" Type="http://schemas.openxmlformats.org/officeDocument/2006/relationships/image" Target="media/image1.jpeg"/><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Gregory\Desktop\Global%20Affairs%20FIU\Summer%20Writing%20Project\Agricultural%20Inflation\Raw%20Data%201.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Gregory\Desktop\Global%20Affairs%20FIU\Summer%20Writing%20Project\Agricultural%20Inflation\Raw%20Data%201.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Gregory\Desktop\Global%20Affairs%20FIU\Summer%20Writing%20Project\Agricultural%20Inflation\Raw%20Data%201.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Agricultural</a:t>
            </a:r>
            <a:r>
              <a:rPr lang="en-US" baseline="0"/>
              <a:t> Commodities in Covid-19</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Sheet1!$D$17</c:f>
              <c:strCache>
                <c:ptCount val="1"/>
                <c:pt idx="0">
                  <c:v>% Increase</c:v>
                </c:pt>
              </c:strCache>
            </c:strRef>
          </c:tx>
          <c:spPr>
            <a:solidFill>
              <a:schemeClr val="accent1"/>
            </a:solidFill>
            <a:ln>
              <a:noFill/>
            </a:ln>
            <a:effectLst/>
          </c:spPr>
          <c:invertIfNegative val="0"/>
          <c:dPt>
            <c:idx val="6"/>
            <c:invertIfNegative val="0"/>
            <c:bubble3D val="0"/>
            <c:spPr>
              <a:solidFill>
                <a:schemeClr val="accent2"/>
              </a:solidFill>
              <a:ln>
                <a:noFill/>
              </a:ln>
              <a:effectLst/>
            </c:spPr>
            <c:extLst>
              <c:ext xmlns:c16="http://schemas.microsoft.com/office/drawing/2014/chart" uri="{C3380CC4-5D6E-409C-BE32-E72D297353CC}">
                <c16:uniqueId val="{00000001-5BE6-468B-A21A-157137EA67DC}"/>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Sheet1!$C$18:$C$24</c:f>
              <c:strCache>
                <c:ptCount val="7"/>
                <c:pt idx="0">
                  <c:v>Soybeans (ZS)</c:v>
                </c:pt>
                <c:pt idx="1">
                  <c:v>Corn (ZC)</c:v>
                </c:pt>
                <c:pt idx="2">
                  <c:v>Wheat (ZW)</c:v>
                </c:pt>
                <c:pt idx="3">
                  <c:v>Rice (ZR)</c:v>
                </c:pt>
                <c:pt idx="4">
                  <c:v>Lean Hogs (HE)</c:v>
                </c:pt>
                <c:pt idx="5">
                  <c:v>Live Cattle (LE)</c:v>
                </c:pt>
                <c:pt idx="6">
                  <c:v>Inflation </c:v>
                </c:pt>
              </c:strCache>
            </c:strRef>
          </c:cat>
          <c:val>
            <c:numRef>
              <c:f>Sheet1!$D$18:$D$24</c:f>
              <c:numCache>
                <c:formatCode>General</c:formatCode>
                <c:ptCount val="7"/>
                <c:pt idx="0">
                  <c:v>62.75</c:v>
                </c:pt>
                <c:pt idx="1">
                  <c:v>56.92</c:v>
                </c:pt>
                <c:pt idx="2">
                  <c:v>16.41</c:v>
                </c:pt>
                <c:pt idx="3">
                  <c:v>11.5</c:v>
                </c:pt>
                <c:pt idx="4">
                  <c:v>18.7</c:v>
                </c:pt>
                <c:pt idx="5">
                  <c:v>12.5</c:v>
                </c:pt>
                <c:pt idx="6">
                  <c:v>6.27</c:v>
                </c:pt>
              </c:numCache>
            </c:numRef>
          </c:val>
          <c:extLst>
            <c:ext xmlns:c16="http://schemas.microsoft.com/office/drawing/2014/chart" uri="{C3380CC4-5D6E-409C-BE32-E72D297353CC}">
              <c16:uniqueId val="{00000002-5BE6-468B-A21A-157137EA67DC}"/>
            </c:ext>
          </c:extLst>
        </c:ser>
        <c:dLbls>
          <c:dLblPos val="outEnd"/>
          <c:showLegendKey val="0"/>
          <c:showVal val="1"/>
          <c:showCatName val="0"/>
          <c:showSerName val="0"/>
          <c:showPercent val="0"/>
          <c:showBubbleSize val="0"/>
        </c:dLbls>
        <c:gapWidth val="219"/>
        <c:overlap val="-27"/>
        <c:axId val="455646792"/>
        <c:axId val="455644496"/>
      </c:barChart>
      <c:catAx>
        <c:axId val="45564679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Commodities</a:t>
                </a:r>
                <a:r>
                  <a:rPr lang="en-US" baseline="0"/>
                  <a:t> &amp; Inflation</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55644496"/>
        <c:crosses val="autoZero"/>
        <c:auto val="1"/>
        <c:lblAlgn val="ctr"/>
        <c:lblOffset val="100"/>
        <c:noMultiLvlLbl val="0"/>
      </c:catAx>
      <c:valAx>
        <c:axId val="45564449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t>
                </a:r>
                <a:r>
                  <a:rPr lang="en-US" baseline="0"/>
                  <a:t> Increase 2019 - 2021</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5564679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Top</a:t>
            </a:r>
            <a:r>
              <a:rPr lang="en-US" baseline="0"/>
              <a:t> 2019 Agricultural Exporters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Sheet1!$A$112:$A$121</c:f>
              <c:strCache>
                <c:ptCount val="10"/>
                <c:pt idx="0">
                  <c:v>United States</c:v>
                </c:pt>
                <c:pt idx="1">
                  <c:v>Netherlands</c:v>
                </c:pt>
                <c:pt idx="2">
                  <c:v>Germany</c:v>
                </c:pt>
                <c:pt idx="3">
                  <c:v>China</c:v>
                </c:pt>
                <c:pt idx="4">
                  <c:v>Brazil</c:v>
                </c:pt>
                <c:pt idx="5">
                  <c:v>Spain</c:v>
                </c:pt>
                <c:pt idx="6">
                  <c:v>France</c:v>
                </c:pt>
                <c:pt idx="7">
                  <c:v>Canada</c:v>
                </c:pt>
                <c:pt idx="8">
                  <c:v>Belgium</c:v>
                </c:pt>
                <c:pt idx="9">
                  <c:v>Argentina</c:v>
                </c:pt>
              </c:strCache>
            </c:strRef>
          </c:cat>
          <c:val>
            <c:numRef>
              <c:f>Sheet1!$B$112:$B$121</c:f>
              <c:numCache>
                <c:formatCode>General</c:formatCode>
                <c:ptCount val="10"/>
                <c:pt idx="0">
                  <c:v>103.4</c:v>
                </c:pt>
                <c:pt idx="1">
                  <c:v>87.7</c:v>
                </c:pt>
                <c:pt idx="2">
                  <c:v>65.099999999999994</c:v>
                </c:pt>
                <c:pt idx="3">
                  <c:v>70.3</c:v>
                </c:pt>
                <c:pt idx="4">
                  <c:v>46.3</c:v>
                </c:pt>
                <c:pt idx="5">
                  <c:v>44</c:v>
                </c:pt>
                <c:pt idx="6">
                  <c:v>43.6</c:v>
                </c:pt>
                <c:pt idx="7">
                  <c:v>38.6</c:v>
                </c:pt>
                <c:pt idx="8">
                  <c:v>35.6</c:v>
                </c:pt>
                <c:pt idx="9">
                  <c:v>28.6</c:v>
                </c:pt>
              </c:numCache>
            </c:numRef>
          </c:val>
          <c:extLst>
            <c:ext xmlns:c16="http://schemas.microsoft.com/office/drawing/2014/chart" uri="{C3380CC4-5D6E-409C-BE32-E72D297353CC}">
              <c16:uniqueId val="{00000000-6052-4461-AF97-EDB8CC03DEC4}"/>
            </c:ext>
          </c:extLst>
        </c:ser>
        <c:dLbls>
          <c:dLblPos val="outEnd"/>
          <c:showLegendKey val="0"/>
          <c:showVal val="1"/>
          <c:showCatName val="0"/>
          <c:showSerName val="0"/>
          <c:showPercent val="0"/>
          <c:showBubbleSize val="0"/>
        </c:dLbls>
        <c:gapWidth val="219"/>
        <c:overlap val="-27"/>
        <c:axId val="455791464"/>
        <c:axId val="455794088"/>
      </c:barChart>
      <c:catAx>
        <c:axId val="45579146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Nations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55794088"/>
        <c:crosses val="autoZero"/>
        <c:auto val="1"/>
        <c:lblAlgn val="ctr"/>
        <c:lblOffset val="100"/>
        <c:noMultiLvlLbl val="0"/>
      </c:catAx>
      <c:valAx>
        <c:axId val="45579408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2019</a:t>
                </a:r>
                <a:r>
                  <a:rPr lang="en-US" baseline="0"/>
                  <a:t> Agrigultural Exports $ Billions</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5579146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Export</a:t>
            </a:r>
            <a:r>
              <a:rPr lang="en-US" baseline="0"/>
              <a:t> Strength &amp; Covid 19</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Sheet1!$J$49</c:f>
              <c:strCache>
                <c:ptCount val="1"/>
                <c:pt idx="0">
                  <c:v>Cum Score</c:v>
                </c:pt>
              </c:strCache>
            </c:strRef>
          </c:tx>
          <c:spPr>
            <a:solidFill>
              <a:schemeClr val="accent6"/>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Sheet1!$I$50:$I$58</c:f>
              <c:strCache>
                <c:ptCount val="9"/>
                <c:pt idx="0">
                  <c:v>United States</c:v>
                </c:pt>
                <c:pt idx="1">
                  <c:v>Brazil</c:v>
                </c:pt>
                <c:pt idx="2">
                  <c:v>Argentina</c:v>
                </c:pt>
                <c:pt idx="3">
                  <c:v>Canada</c:v>
                </c:pt>
                <c:pt idx="4">
                  <c:v>France</c:v>
                </c:pt>
                <c:pt idx="5">
                  <c:v>Australia</c:v>
                </c:pt>
                <c:pt idx="6">
                  <c:v>Netherlands</c:v>
                </c:pt>
                <c:pt idx="7">
                  <c:v>Russia</c:v>
                </c:pt>
                <c:pt idx="8">
                  <c:v>Spain</c:v>
                </c:pt>
              </c:strCache>
            </c:strRef>
          </c:cat>
          <c:val>
            <c:numRef>
              <c:f>Sheet1!$J$50:$J$58</c:f>
              <c:numCache>
                <c:formatCode>General</c:formatCode>
                <c:ptCount val="9"/>
                <c:pt idx="0">
                  <c:v>52</c:v>
                </c:pt>
                <c:pt idx="1">
                  <c:v>34</c:v>
                </c:pt>
                <c:pt idx="2">
                  <c:v>28</c:v>
                </c:pt>
                <c:pt idx="3">
                  <c:v>24</c:v>
                </c:pt>
                <c:pt idx="4">
                  <c:v>15</c:v>
                </c:pt>
                <c:pt idx="5">
                  <c:v>13</c:v>
                </c:pt>
                <c:pt idx="6">
                  <c:v>13</c:v>
                </c:pt>
                <c:pt idx="7">
                  <c:v>12</c:v>
                </c:pt>
                <c:pt idx="8">
                  <c:v>10</c:v>
                </c:pt>
              </c:numCache>
            </c:numRef>
          </c:val>
          <c:extLst>
            <c:ext xmlns:c16="http://schemas.microsoft.com/office/drawing/2014/chart" uri="{C3380CC4-5D6E-409C-BE32-E72D297353CC}">
              <c16:uniqueId val="{00000000-6F87-4A97-AB75-5103C78567E3}"/>
            </c:ext>
          </c:extLst>
        </c:ser>
        <c:ser>
          <c:idx val="1"/>
          <c:order val="1"/>
          <c:tx>
            <c:strRef>
              <c:f>Sheet1!$K$49</c:f>
              <c:strCache>
                <c:ptCount val="1"/>
                <c:pt idx="0">
                  <c:v>% vaccinated (minimum 1 shot)</c:v>
                </c:pt>
              </c:strCache>
            </c:strRef>
          </c:tx>
          <c:spPr>
            <a:solidFill>
              <a:srgbClr val="FF000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Sheet1!$I$50:$I$58</c:f>
              <c:strCache>
                <c:ptCount val="9"/>
                <c:pt idx="0">
                  <c:v>United States</c:v>
                </c:pt>
                <c:pt idx="1">
                  <c:v>Brazil</c:v>
                </c:pt>
                <c:pt idx="2">
                  <c:v>Argentina</c:v>
                </c:pt>
                <c:pt idx="3">
                  <c:v>Canada</c:v>
                </c:pt>
                <c:pt idx="4">
                  <c:v>France</c:v>
                </c:pt>
                <c:pt idx="5">
                  <c:v>Australia</c:v>
                </c:pt>
                <c:pt idx="6">
                  <c:v>Netherlands</c:v>
                </c:pt>
                <c:pt idx="7">
                  <c:v>Russia</c:v>
                </c:pt>
                <c:pt idx="8">
                  <c:v>Spain</c:v>
                </c:pt>
              </c:strCache>
            </c:strRef>
          </c:cat>
          <c:val>
            <c:numRef>
              <c:f>Sheet1!$K$50:$K$58</c:f>
              <c:numCache>
                <c:formatCode>General</c:formatCode>
                <c:ptCount val="9"/>
                <c:pt idx="0">
                  <c:v>55</c:v>
                </c:pt>
                <c:pt idx="1">
                  <c:v>42</c:v>
                </c:pt>
                <c:pt idx="2">
                  <c:v>48</c:v>
                </c:pt>
                <c:pt idx="3">
                  <c:v>70</c:v>
                </c:pt>
                <c:pt idx="4">
                  <c:v>53</c:v>
                </c:pt>
                <c:pt idx="5">
                  <c:v>27</c:v>
                </c:pt>
                <c:pt idx="6">
                  <c:v>67</c:v>
                </c:pt>
                <c:pt idx="7">
                  <c:v>20</c:v>
                </c:pt>
                <c:pt idx="8">
                  <c:v>60</c:v>
                </c:pt>
              </c:numCache>
            </c:numRef>
          </c:val>
          <c:extLst>
            <c:ext xmlns:c16="http://schemas.microsoft.com/office/drawing/2014/chart" uri="{C3380CC4-5D6E-409C-BE32-E72D297353CC}">
              <c16:uniqueId val="{00000001-6F87-4A97-AB75-5103C78567E3}"/>
            </c:ext>
          </c:extLst>
        </c:ser>
        <c:dLbls>
          <c:dLblPos val="outEnd"/>
          <c:showLegendKey val="0"/>
          <c:showVal val="1"/>
          <c:showCatName val="0"/>
          <c:showSerName val="0"/>
          <c:showPercent val="0"/>
          <c:showBubbleSize val="0"/>
        </c:dLbls>
        <c:gapWidth val="219"/>
        <c:overlap val="-27"/>
        <c:axId val="443096552"/>
        <c:axId val="443104752"/>
      </c:barChart>
      <c:catAx>
        <c:axId val="44309655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Strongest</a:t>
                </a:r>
                <a:r>
                  <a:rPr lang="en-US" baseline="0"/>
                  <a:t> Exporting Nations </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43104752"/>
        <c:crosses val="autoZero"/>
        <c:auto val="1"/>
        <c:lblAlgn val="ctr"/>
        <c:lblOffset val="100"/>
        <c:noMultiLvlLbl val="0"/>
      </c:catAx>
      <c:valAx>
        <c:axId val="44310475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Cumulative</a:t>
                </a:r>
                <a:r>
                  <a:rPr lang="en-US" baseline="0"/>
                  <a:t> Score &amp; Vaccination %</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4309655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1092</Words>
  <Characters>6230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Ayres</dc:creator>
  <cp:keywords/>
  <dc:description/>
  <cp:lastModifiedBy>Gregory Ayres</cp:lastModifiedBy>
  <cp:revision>3</cp:revision>
  <cp:lastPrinted>2021-07-16T08:10:00Z</cp:lastPrinted>
  <dcterms:created xsi:type="dcterms:W3CDTF">2021-07-16T01:15:00Z</dcterms:created>
  <dcterms:modified xsi:type="dcterms:W3CDTF">2021-07-16T08:10:00Z</dcterms:modified>
</cp:coreProperties>
</file>