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0A476" w14:textId="46CDD452" w:rsidR="00750082" w:rsidRDefault="00750082" w:rsidP="00750082">
      <w:pPr>
        <w:jc w:val="center"/>
        <w:rPr>
          <w:rFonts w:ascii="Times New Roman" w:hAnsi="Times New Roman" w:cs="Times New Roman"/>
          <w:sz w:val="40"/>
          <w:szCs w:val="40"/>
        </w:rPr>
      </w:pPr>
      <w:r>
        <w:rPr>
          <w:rFonts w:ascii="Times New Roman" w:hAnsi="Times New Roman" w:cs="Times New Roman"/>
          <w:sz w:val="40"/>
          <w:szCs w:val="40"/>
        </w:rPr>
        <w:t>Infrastructure Bill: Impacts Abroad</w:t>
      </w:r>
    </w:p>
    <w:p w14:paraId="65E330D1" w14:textId="1A387310" w:rsidR="00750082" w:rsidRDefault="00750082" w:rsidP="00F54329">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sidRPr="00070AFC">
          <w:rPr>
            <w:rStyle w:val="Hyperlink"/>
            <w:b/>
            <w:bCs/>
          </w:rPr>
          <w:t>https://globalaffairswithgregayres.com/</w:t>
        </w:r>
      </w:hyperlink>
      <w:r>
        <w:rPr>
          <w:b/>
          <w:bCs/>
        </w:rPr>
        <w:tab/>
      </w:r>
      <w:r>
        <w:rPr>
          <w:b/>
          <w:bCs/>
        </w:rPr>
        <w:tab/>
        <w:t>7/2</w:t>
      </w:r>
      <w:r w:rsidR="00DA6752">
        <w:rPr>
          <w:b/>
          <w:bCs/>
        </w:rPr>
        <w:t>6</w:t>
      </w:r>
      <w:r>
        <w:rPr>
          <w:b/>
          <w:bCs/>
        </w:rPr>
        <w:t>/2021</w:t>
      </w:r>
    </w:p>
    <w:p w14:paraId="2F19795C" w14:textId="77777777" w:rsidR="00DA6752" w:rsidRDefault="00DA6752" w:rsidP="00F54329">
      <w:pPr>
        <w:jc w:val="center"/>
        <w:rPr>
          <w:b/>
          <w:bCs/>
        </w:rPr>
      </w:pPr>
    </w:p>
    <w:p w14:paraId="143A2AED" w14:textId="68D050FF" w:rsidR="00750082" w:rsidRDefault="00750082" w:rsidP="00F54329">
      <w:pPr>
        <w:spacing w:line="360" w:lineRule="auto"/>
        <w:ind w:firstLine="720"/>
        <w:rPr>
          <w:rFonts w:ascii="Times New Roman" w:hAnsi="Times New Roman" w:cs="Times New Roman"/>
          <w:sz w:val="24"/>
          <w:szCs w:val="24"/>
        </w:rPr>
      </w:pPr>
      <w:r>
        <w:rPr>
          <w:rFonts w:ascii="Times New Roman" w:hAnsi="Times New Roman" w:cs="Times New Roman"/>
          <w:sz w:val="24"/>
          <w:szCs w:val="24"/>
        </w:rPr>
        <w:t>Despite ongoing debate within congress, political gamesmanship, spending debates, and funding debates an infrastructure bill appears likely. Spending over $1 trillion, with recent proposals including $547 billion for “hard-infrastructure”, will have serious economic ramifications. An increase in demand for the raw materials and machinery places upward pressure on prices. When spending over $1 trillion, there is considerable profit to be made</w:t>
      </w:r>
      <w:r w:rsidR="00F54329">
        <w:rPr>
          <w:rFonts w:ascii="Times New Roman" w:hAnsi="Times New Roman" w:cs="Times New Roman"/>
          <w:sz w:val="24"/>
          <w:szCs w:val="24"/>
        </w:rPr>
        <w:t xml:space="preserve">, </w:t>
      </w:r>
      <w:r>
        <w:rPr>
          <w:rFonts w:ascii="Times New Roman" w:hAnsi="Times New Roman" w:cs="Times New Roman"/>
          <w:sz w:val="24"/>
          <w:szCs w:val="24"/>
        </w:rPr>
        <w:t xml:space="preserve">and even with legislation promoting domestic purchases, global markets will experience the impact of increased consumption in the United States. </w:t>
      </w:r>
      <w:r w:rsidR="00A86F90">
        <w:rPr>
          <w:rFonts w:ascii="Times New Roman" w:hAnsi="Times New Roman" w:cs="Times New Roman"/>
          <w:sz w:val="24"/>
          <w:szCs w:val="24"/>
        </w:rPr>
        <w:t>Foreign nations will benefit from increased U.S. demand</w:t>
      </w:r>
      <w:r w:rsidR="00DA6752">
        <w:rPr>
          <w:rFonts w:ascii="Times New Roman" w:hAnsi="Times New Roman" w:cs="Times New Roman"/>
          <w:sz w:val="24"/>
          <w:szCs w:val="24"/>
        </w:rPr>
        <w:t>, which places upward pressure on the global prices</w:t>
      </w:r>
      <w:r w:rsidR="00A86F90">
        <w:rPr>
          <w:rFonts w:ascii="Times New Roman" w:hAnsi="Times New Roman" w:cs="Times New Roman"/>
          <w:sz w:val="24"/>
          <w:szCs w:val="24"/>
        </w:rPr>
        <w:t xml:space="preserve"> for raw materials,</w:t>
      </w:r>
      <w:r w:rsidR="00E05B3C">
        <w:rPr>
          <w:rFonts w:ascii="Times New Roman" w:hAnsi="Times New Roman" w:cs="Times New Roman"/>
          <w:sz w:val="24"/>
          <w:szCs w:val="24"/>
        </w:rPr>
        <w:t xml:space="preserve"> and heavy equipment. </w:t>
      </w:r>
    </w:p>
    <w:p w14:paraId="469BD4AB" w14:textId="592EC888" w:rsidR="00F54329" w:rsidRPr="00F54329" w:rsidRDefault="005D2F03" w:rsidP="00F54329">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By awarding points based on export rankings</w:t>
      </w:r>
      <w:r w:rsidR="00F54329">
        <w:rPr>
          <w:rFonts w:ascii="Times New Roman" w:hAnsi="Times New Roman" w:cs="Times New Roman"/>
          <w:sz w:val="24"/>
          <w:szCs w:val="24"/>
        </w:rPr>
        <w:t>,</w:t>
      </w:r>
      <w:r w:rsidRPr="00F54329">
        <w:rPr>
          <w:rFonts w:ascii="Times New Roman" w:hAnsi="Times New Roman" w:cs="Times New Roman"/>
          <w:sz w:val="24"/>
          <w:szCs w:val="24"/>
        </w:rPr>
        <w:t xml:space="preserve"> the largest foreign beneficiaries of a U.S. infrastructure bill can be identified. </w:t>
      </w:r>
      <w:r w:rsidR="00A45C3E" w:rsidRPr="00F54329">
        <w:rPr>
          <w:rFonts w:ascii="Times New Roman" w:hAnsi="Times New Roman" w:cs="Times New Roman"/>
          <w:sz w:val="24"/>
          <w:szCs w:val="24"/>
        </w:rPr>
        <w:t xml:space="preserve"> The vertical axis denotes the cumulative score across categories and the horizontal axis reflects the number of categories in which a nation appeared. Notably, the United States top trade partners are present on the list, however, there is significant deviation in ranking. A cross-comparison with the graphic for the United States leading trade partners reveals some of the thematic differences. </w:t>
      </w:r>
      <w:r w:rsidR="00705F8E" w:rsidRPr="00F54329">
        <w:rPr>
          <w:rFonts w:ascii="Times New Roman" w:hAnsi="Times New Roman" w:cs="Times New Roman"/>
          <w:sz w:val="24"/>
          <w:szCs w:val="24"/>
        </w:rPr>
        <w:t>South Korea, Ireland, Taiwan, and India are major exporters to the United States, but export products, goods, and services not directly linked to infrastructure spending. We also see the inclusion</w:t>
      </w:r>
      <w:r w:rsidR="003F2FDE" w:rsidRPr="00F54329">
        <w:rPr>
          <w:rFonts w:ascii="Times New Roman" w:hAnsi="Times New Roman" w:cs="Times New Roman"/>
          <w:sz w:val="24"/>
          <w:szCs w:val="24"/>
        </w:rPr>
        <w:t xml:space="preserve">, on the </w:t>
      </w:r>
      <w:r w:rsidR="00F54329">
        <w:rPr>
          <w:rFonts w:ascii="Times New Roman" w:hAnsi="Times New Roman" w:cs="Times New Roman"/>
          <w:sz w:val="24"/>
          <w:szCs w:val="24"/>
        </w:rPr>
        <w:t>first</w:t>
      </w:r>
      <w:r w:rsidR="003F2FDE" w:rsidRPr="00F54329">
        <w:rPr>
          <w:rFonts w:ascii="Times New Roman" w:hAnsi="Times New Roman" w:cs="Times New Roman"/>
          <w:sz w:val="24"/>
          <w:szCs w:val="24"/>
        </w:rPr>
        <w:t xml:space="preserve"> chart,</w:t>
      </w:r>
      <w:r w:rsidR="00705F8E" w:rsidRPr="00F54329">
        <w:rPr>
          <w:rFonts w:ascii="Times New Roman" w:hAnsi="Times New Roman" w:cs="Times New Roman"/>
          <w:sz w:val="24"/>
          <w:szCs w:val="24"/>
        </w:rPr>
        <w:t xml:space="preserve"> of many </w:t>
      </w:r>
      <w:r w:rsidR="001379F7" w:rsidRPr="00F54329">
        <w:rPr>
          <w:rFonts w:ascii="Times New Roman" w:hAnsi="Times New Roman" w:cs="Times New Roman"/>
          <w:sz w:val="24"/>
          <w:szCs w:val="24"/>
        </w:rPr>
        <w:t>resource</w:t>
      </w:r>
      <w:r w:rsidR="00DA6752">
        <w:rPr>
          <w:rFonts w:ascii="Times New Roman" w:hAnsi="Times New Roman" w:cs="Times New Roman"/>
          <w:sz w:val="24"/>
          <w:szCs w:val="24"/>
        </w:rPr>
        <w:t>-</w:t>
      </w:r>
      <w:r w:rsidR="00705F8E" w:rsidRPr="00F54329">
        <w:rPr>
          <w:rFonts w:ascii="Times New Roman" w:hAnsi="Times New Roman" w:cs="Times New Roman"/>
          <w:sz w:val="24"/>
          <w:szCs w:val="24"/>
        </w:rPr>
        <w:t>rich nations</w:t>
      </w:r>
      <w:r w:rsidR="00E05B3C" w:rsidRPr="00F54329">
        <w:rPr>
          <w:rFonts w:ascii="Times New Roman" w:hAnsi="Times New Roman" w:cs="Times New Roman"/>
          <w:sz w:val="24"/>
          <w:szCs w:val="24"/>
        </w:rPr>
        <w:t>,</w:t>
      </w:r>
      <w:r w:rsidR="00705F8E" w:rsidRPr="00F54329">
        <w:rPr>
          <w:rFonts w:ascii="Times New Roman" w:hAnsi="Times New Roman" w:cs="Times New Roman"/>
          <w:sz w:val="24"/>
          <w:szCs w:val="24"/>
        </w:rPr>
        <w:t xml:space="preserve"> </w:t>
      </w:r>
      <w:r w:rsidR="003F2FDE" w:rsidRPr="00F54329">
        <w:rPr>
          <w:rFonts w:ascii="Times New Roman" w:hAnsi="Times New Roman" w:cs="Times New Roman"/>
          <w:sz w:val="24"/>
          <w:szCs w:val="24"/>
        </w:rPr>
        <w:t xml:space="preserve">which excel at exporting materials utilized in heavy infrastructure: Australia, the U.A.E, Brazil, Chile, and Saudi Arabia. </w:t>
      </w:r>
    </w:p>
    <w:p w14:paraId="2C5DE4C7" w14:textId="7EA34E53" w:rsidR="00A45C3E" w:rsidRDefault="00A45C3E">
      <w:pPr>
        <w:rPr>
          <w:noProof/>
        </w:rPr>
      </w:pPr>
      <w:r>
        <w:rPr>
          <w:noProof/>
        </w:rPr>
        <w:drawing>
          <wp:inline distT="0" distB="0" distL="0" distR="0" wp14:anchorId="56D982A1" wp14:editId="48996122">
            <wp:extent cx="6690360" cy="3581400"/>
            <wp:effectExtent l="0" t="0" r="15240" b="0"/>
            <wp:docPr id="1" name="Chart 1">
              <a:extLst xmlns:a="http://schemas.openxmlformats.org/drawingml/2006/main">
                <a:ext uri="{FF2B5EF4-FFF2-40B4-BE49-F238E27FC236}">
                  <a16:creationId xmlns:a16="http://schemas.microsoft.com/office/drawing/2014/main" id="{046E612D-F6E5-469D-A257-754F989CF7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A00B62B" w14:textId="715EE928" w:rsidR="00A45C3E" w:rsidRPr="00A45C3E" w:rsidRDefault="00705F8E" w:rsidP="00A45C3E">
      <w:r>
        <w:rPr>
          <w:noProof/>
        </w:rPr>
        <w:lastRenderedPageBreak/>
        <w:drawing>
          <wp:inline distT="0" distB="0" distL="0" distR="0" wp14:anchorId="612391D3" wp14:editId="55A2654A">
            <wp:extent cx="6858000" cy="4099560"/>
            <wp:effectExtent l="0" t="0" r="0" b="15240"/>
            <wp:docPr id="2" name="Chart 2">
              <a:extLst xmlns:a="http://schemas.openxmlformats.org/drawingml/2006/main">
                <a:ext uri="{FF2B5EF4-FFF2-40B4-BE49-F238E27FC236}">
                  <a16:creationId xmlns:a16="http://schemas.microsoft.com/office/drawing/2014/main" id="{703458EA-DA3D-480F-AD14-B8BE3FD0E1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EF0CED5" w14:textId="173B78AE" w:rsidR="00A45C3E" w:rsidRPr="00F54329" w:rsidRDefault="00A45C3E" w:rsidP="00F54329">
      <w:pPr>
        <w:spacing w:line="276" w:lineRule="auto"/>
        <w:rPr>
          <w:rFonts w:ascii="Times New Roman" w:hAnsi="Times New Roman" w:cs="Times New Roman"/>
          <w:noProof/>
          <w:sz w:val="24"/>
          <w:szCs w:val="24"/>
        </w:rPr>
      </w:pPr>
    </w:p>
    <w:p w14:paraId="5F9160A2" w14:textId="2F73B96B" w:rsidR="00A45C3E" w:rsidRPr="00F54329" w:rsidRDefault="00A45C3E" w:rsidP="00F54329">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 xml:space="preserve">The United States largest trading partner, Mexico, is notably </w:t>
      </w:r>
      <w:r w:rsidR="00F54329">
        <w:rPr>
          <w:rFonts w:ascii="Times New Roman" w:hAnsi="Times New Roman" w:cs="Times New Roman"/>
          <w:sz w:val="24"/>
          <w:szCs w:val="24"/>
        </w:rPr>
        <w:t xml:space="preserve">only </w:t>
      </w:r>
      <w:r w:rsidRPr="00F54329">
        <w:rPr>
          <w:rFonts w:ascii="Times New Roman" w:hAnsi="Times New Roman" w:cs="Times New Roman"/>
          <w:sz w:val="24"/>
          <w:szCs w:val="24"/>
        </w:rPr>
        <w:t>11</w:t>
      </w:r>
      <w:r w:rsidRPr="00F54329">
        <w:rPr>
          <w:rFonts w:ascii="Times New Roman" w:hAnsi="Times New Roman" w:cs="Times New Roman"/>
          <w:sz w:val="24"/>
          <w:szCs w:val="24"/>
          <w:vertAlign w:val="superscript"/>
        </w:rPr>
        <w:t>th</w:t>
      </w:r>
      <w:r w:rsidRPr="00F54329">
        <w:rPr>
          <w:rFonts w:ascii="Times New Roman" w:hAnsi="Times New Roman" w:cs="Times New Roman"/>
          <w:sz w:val="24"/>
          <w:szCs w:val="24"/>
        </w:rPr>
        <w:t xml:space="preserve"> on the list</w:t>
      </w:r>
      <w:r w:rsidR="00F54329">
        <w:rPr>
          <w:rFonts w:ascii="Times New Roman" w:hAnsi="Times New Roman" w:cs="Times New Roman"/>
          <w:sz w:val="24"/>
          <w:szCs w:val="24"/>
        </w:rPr>
        <w:t xml:space="preserve"> of infrastructure beneficiaries</w:t>
      </w:r>
      <w:r w:rsidRPr="00F54329">
        <w:rPr>
          <w:rFonts w:ascii="Times New Roman" w:hAnsi="Times New Roman" w:cs="Times New Roman"/>
          <w:sz w:val="24"/>
          <w:szCs w:val="24"/>
        </w:rPr>
        <w:t>. Mexico is a leading global exporter in construction machinery and bronze, but fails to export many of the raw materials used in heavy construction. This is in part due to Mexico’s own development demography, which generates large amounts of internal consumption. Mexico’s intermediary role in heavy manufacturing is also not fully encompassed</w:t>
      </w:r>
      <w:r w:rsidR="001379F7" w:rsidRPr="00F54329">
        <w:rPr>
          <w:rFonts w:ascii="Times New Roman" w:hAnsi="Times New Roman" w:cs="Times New Roman"/>
          <w:sz w:val="24"/>
          <w:szCs w:val="24"/>
        </w:rPr>
        <w:t xml:space="preserve">, nor is the impact of remittances. </w:t>
      </w:r>
    </w:p>
    <w:p w14:paraId="75CEBC5B" w14:textId="77777777" w:rsidR="00F54329" w:rsidRDefault="001379F7" w:rsidP="00F54329">
      <w:pPr>
        <w:spacing w:line="360" w:lineRule="auto"/>
        <w:rPr>
          <w:rFonts w:ascii="Times New Roman" w:hAnsi="Times New Roman" w:cs="Times New Roman"/>
          <w:sz w:val="24"/>
          <w:szCs w:val="24"/>
        </w:rPr>
      </w:pPr>
      <w:r w:rsidRPr="00F54329">
        <w:rPr>
          <w:rFonts w:ascii="Times New Roman" w:hAnsi="Times New Roman" w:cs="Times New Roman"/>
          <w:sz w:val="24"/>
          <w:szCs w:val="24"/>
        </w:rPr>
        <w:tab/>
        <w:t xml:space="preserve">Congressional stipulations will likely necessitate that the majority of raw materials and equipment be sourced domestically within the United States. The political sentiment for increased domestic manufacturing has been encompassed by both Trump’s “Buy American, Hire American “and Biden’s “Buy American” slogans. Bipartisan support is increasingly rare in the current political climate, however, trade policy and opposition to China and Russia are uniquely popular across party lines. This will likely manifest itself as congressional restrictions on the purchasing of raw materials and equipment with federally allocated funds. In practical terms, this will limit the benefits felt by Russia and China. </w:t>
      </w:r>
    </w:p>
    <w:p w14:paraId="6B3E09FD" w14:textId="059D122B" w:rsidR="001379F7" w:rsidRPr="00F54329" w:rsidRDefault="001379F7" w:rsidP="00F54329">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 xml:space="preserve">China is a major trading partner of the United States, and is well placed as an exporter to benefit from </w:t>
      </w:r>
      <w:r w:rsidR="00571CF1" w:rsidRPr="00F54329">
        <w:rPr>
          <w:rFonts w:ascii="Times New Roman" w:hAnsi="Times New Roman" w:cs="Times New Roman"/>
          <w:sz w:val="24"/>
          <w:szCs w:val="24"/>
        </w:rPr>
        <w:t xml:space="preserve">American infrastructure spending, ranking second in Infrastructure Export Impact. Russia, despite being well placed to benefit, as a major exporter of steel, oil, and aluminum will be targeted for exclusion. The United States neighbors, Canada and Mexico, appear best positioned to benefit from U.S. infrastructure spending. </w:t>
      </w:r>
      <w:r w:rsidR="00571CF1" w:rsidRPr="00F54329">
        <w:rPr>
          <w:rFonts w:ascii="Times New Roman" w:hAnsi="Times New Roman" w:cs="Times New Roman"/>
          <w:sz w:val="24"/>
          <w:szCs w:val="24"/>
        </w:rPr>
        <w:lastRenderedPageBreak/>
        <w:t xml:space="preserve">Increased spending in the American economy will benefit suppliers, contractors, and sub-manufactures in both nations, just as trade ties strengthen and the American economy reopens.  </w:t>
      </w:r>
    </w:p>
    <w:p w14:paraId="40A6F482" w14:textId="171CECDE" w:rsidR="00571CF1" w:rsidRPr="00F54329" w:rsidRDefault="00571CF1" w:rsidP="00F54329">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The worlds major exporters of heavy machinery and refined products, Japan and Germany stand to benefit as the United States increases global demand for trucks, excavators, buses, other forms of heavy machinery. Raw materials exporters</w:t>
      </w:r>
      <w:r w:rsidR="00F54329">
        <w:rPr>
          <w:rFonts w:ascii="Times New Roman" w:hAnsi="Times New Roman" w:cs="Times New Roman"/>
          <w:sz w:val="24"/>
          <w:szCs w:val="24"/>
        </w:rPr>
        <w:t>,</w:t>
      </w:r>
      <w:r w:rsidRPr="00F54329">
        <w:rPr>
          <w:rFonts w:ascii="Times New Roman" w:hAnsi="Times New Roman" w:cs="Times New Roman"/>
          <w:sz w:val="24"/>
          <w:szCs w:val="24"/>
        </w:rPr>
        <w:t xml:space="preserve"> such as Australia, Turkey, the U.A.E., Brazil and Chile stand to gain from increased U.S. purchases for building materials. </w:t>
      </w:r>
    </w:p>
    <w:p w14:paraId="180C9EB3" w14:textId="271B68E1" w:rsidR="00571CF1" w:rsidRPr="00F54329" w:rsidRDefault="00571CF1" w:rsidP="00F54329">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The spending of over $1 trillion on infrastructure presents enormous opportunities for U.S. economic revival, but also the opportunity for the strategic strengthening of partnerships. The enormous scale of U.S. spending will impact global commodity markets</w:t>
      </w:r>
      <w:r w:rsidR="00F54329">
        <w:rPr>
          <w:rFonts w:ascii="Times New Roman" w:hAnsi="Times New Roman" w:cs="Times New Roman"/>
          <w:sz w:val="24"/>
          <w:szCs w:val="24"/>
        </w:rPr>
        <w:t>;</w:t>
      </w:r>
      <w:r w:rsidRPr="00F54329">
        <w:rPr>
          <w:rFonts w:ascii="Times New Roman" w:hAnsi="Times New Roman" w:cs="Times New Roman"/>
          <w:sz w:val="24"/>
          <w:szCs w:val="24"/>
        </w:rPr>
        <w:t xml:space="preserve"> precise and strategic planning can generate diplomatic leverage. The United States seeks to </w:t>
      </w:r>
      <w:r w:rsidR="00E05B3C" w:rsidRPr="00F54329">
        <w:rPr>
          <w:rFonts w:ascii="Times New Roman" w:hAnsi="Times New Roman" w:cs="Times New Roman"/>
          <w:sz w:val="24"/>
          <w:szCs w:val="24"/>
        </w:rPr>
        <w:t xml:space="preserve">reduce immigration and the role of organized crime in Mexico. Australia is a valuable intelligence partner and naval ally in the Pacific. The U.A.E. is a growing security and intelligence partner in the Middle-East, a valuable position as the U.S. military departs the region. Turkey remains an ally in flux, a valuable partner in Afghanistan, while a foe in other aspects. </w:t>
      </w:r>
      <w:r w:rsidR="00DA6752">
        <w:rPr>
          <w:rFonts w:ascii="Times New Roman" w:hAnsi="Times New Roman" w:cs="Times New Roman"/>
          <w:sz w:val="24"/>
          <w:szCs w:val="24"/>
        </w:rPr>
        <w:t xml:space="preserve">Targeted legislation can be used to strengthen economic partnerships and generate leverage to secure other American interests. </w:t>
      </w:r>
    </w:p>
    <w:p w14:paraId="1972AF49" w14:textId="077B3780" w:rsidR="00E05B3C" w:rsidRDefault="00E05B3C" w:rsidP="00DA6752">
      <w:pPr>
        <w:spacing w:line="360" w:lineRule="auto"/>
        <w:ind w:firstLine="720"/>
        <w:rPr>
          <w:rFonts w:ascii="Times New Roman" w:hAnsi="Times New Roman" w:cs="Times New Roman"/>
          <w:sz w:val="24"/>
          <w:szCs w:val="24"/>
        </w:rPr>
      </w:pPr>
      <w:r w:rsidRPr="00F54329">
        <w:rPr>
          <w:rFonts w:ascii="Times New Roman" w:hAnsi="Times New Roman" w:cs="Times New Roman"/>
          <w:sz w:val="24"/>
          <w:szCs w:val="24"/>
        </w:rPr>
        <w:t xml:space="preserve">Comprehensive infrastructure spending stands to greatly benefit the United States economy, and has the potential to benefit global suppliers. Congress will invariably influence the allocation of these funds, and doing so with strategic intent, can influence U.S. relations abroad. The size and reach of the American economy </w:t>
      </w:r>
      <w:r w:rsidR="00DA6752">
        <w:rPr>
          <w:rFonts w:ascii="Times New Roman" w:hAnsi="Times New Roman" w:cs="Times New Roman"/>
          <w:sz w:val="24"/>
          <w:szCs w:val="24"/>
        </w:rPr>
        <w:t xml:space="preserve">will </w:t>
      </w:r>
      <w:r w:rsidR="00F54329" w:rsidRPr="00F54329">
        <w:rPr>
          <w:rFonts w:ascii="Times New Roman" w:hAnsi="Times New Roman" w:cs="Times New Roman"/>
          <w:sz w:val="24"/>
          <w:szCs w:val="24"/>
        </w:rPr>
        <w:t>mean</w:t>
      </w:r>
      <w:r w:rsidRPr="00F54329">
        <w:rPr>
          <w:rFonts w:ascii="Times New Roman" w:hAnsi="Times New Roman" w:cs="Times New Roman"/>
          <w:sz w:val="24"/>
          <w:szCs w:val="24"/>
        </w:rPr>
        <w:t xml:space="preserve"> that even domestic spending contributes to American soft-power abroad. </w:t>
      </w:r>
    </w:p>
    <w:p w14:paraId="1D0CDE1A" w14:textId="11B1528E" w:rsidR="00DA6752" w:rsidRDefault="00DA6752" w:rsidP="00DA6752">
      <w:pPr>
        <w:spacing w:line="360" w:lineRule="auto"/>
        <w:ind w:firstLine="720"/>
        <w:rPr>
          <w:rFonts w:ascii="Times New Roman" w:hAnsi="Times New Roman" w:cs="Times New Roman"/>
          <w:sz w:val="24"/>
          <w:szCs w:val="24"/>
        </w:rPr>
      </w:pPr>
    </w:p>
    <w:p w14:paraId="5AB8D386" w14:textId="7F978F85" w:rsidR="00DA6752" w:rsidRDefault="00DA6752" w:rsidP="00DA6752">
      <w:pPr>
        <w:spacing w:line="360" w:lineRule="auto"/>
        <w:ind w:firstLine="720"/>
        <w:rPr>
          <w:rFonts w:ascii="Times New Roman" w:hAnsi="Times New Roman" w:cs="Times New Roman"/>
          <w:sz w:val="24"/>
          <w:szCs w:val="24"/>
        </w:rPr>
      </w:pPr>
    </w:p>
    <w:p w14:paraId="7469EB55" w14:textId="1E760C33" w:rsidR="00DA6752" w:rsidRDefault="00DA6752" w:rsidP="00DA6752">
      <w:pPr>
        <w:spacing w:line="360" w:lineRule="auto"/>
        <w:ind w:firstLine="720"/>
        <w:rPr>
          <w:rFonts w:ascii="Times New Roman" w:hAnsi="Times New Roman" w:cs="Times New Roman"/>
          <w:sz w:val="24"/>
          <w:szCs w:val="24"/>
        </w:rPr>
      </w:pPr>
    </w:p>
    <w:p w14:paraId="31BEBECB" w14:textId="7DAA4969" w:rsidR="00DA6752" w:rsidRDefault="00DA6752" w:rsidP="00DA6752">
      <w:pPr>
        <w:spacing w:line="360" w:lineRule="auto"/>
        <w:ind w:firstLine="720"/>
        <w:rPr>
          <w:rFonts w:ascii="Times New Roman" w:hAnsi="Times New Roman" w:cs="Times New Roman"/>
          <w:sz w:val="24"/>
          <w:szCs w:val="24"/>
        </w:rPr>
      </w:pPr>
    </w:p>
    <w:p w14:paraId="08CF2EEB" w14:textId="0F47A4E5" w:rsidR="00DA6752" w:rsidRDefault="00DA6752" w:rsidP="00DA6752">
      <w:pPr>
        <w:spacing w:line="360" w:lineRule="auto"/>
        <w:ind w:firstLine="720"/>
        <w:rPr>
          <w:rFonts w:ascii="Times New Roman" w:hAnsi="Times New Roman" w:cs="Times New Roman"/>
          <w:sz w:val="24"/>
          <w:szCs w:val="24"/>
        </w:rPr>
      </w:pPr>
    </w:p>
    <w:p w14:paraId="4A8DAF85" w14:textId="38936259" w:rsidR="00DA6752" w:rsidRDefault="00DA6752" w:rsidP="00DA6752">
      <w:pPr>
        <w:spacing w:line="360" w:lineRule="auto"/>
        <w:ind w:firstLine="720"/>
        <w:rPr>
          <w:rFonts w:ascii="Times New Roman" w:hAnsi="Times New Roman" w:cs="Times New Roman"/>
          <w:sz w:val="24"/>
          <w:szCs w:val="24"/>
        </w:rPr>
      </w:pPr>
    </w:p>
    <w:p w14:paraId="0930D2CB" w14:textId="31135CC9" w:rsidR="00DA6752" w:rsidRDefault="00DA6752" w:rsidP="00DA6752">
      <w:pPr>
        <w:spacing w:line="360" w:lineRule="auto"/>
        <w:ind w:firstLine="720"/>
        <w:rPr>
          <w:rFonts w:ascii="Times New Roman" w:hAnsi="Times New Roman" w:cs="Times New Roman"/>
          <w:sz w:val="24"/>
          <w:szCs w:val="24"/>
        </w:rPr>
      </w:pPr>
    </w:p>
    <w:p w14:paraId="4EDB56D9" w14:textId="4F9F95C7" w:rsidR="00DA6752" w:rsidRDefault="00DA6752" w:rsidP="00DA6752">
      <w:pPr>
        <w:spacing w:line="360" w:lineRule="auto"/>
        <w:ind w:firstLine="720"/>
        <w:rPr>
          <w:rFonts w:ascii="Times New Roman" w:hAnsi="Times New Roman" w:cs="Times New Roman"/>
          <w:sz w:val="24"/>
          <w:szCs w:val="24"/>
        </w:rPr>
      </w:pPr>
    </w:p>
    <w:p w14:paraId="3841D00E" w14:textId="4FD77DFB" w:rsidR="00DA6752" w:rsidRDefault="00DA6752" w:rsidP="00DA6752">
      <w:pPr>
        <w:spacing w:line="360" w:lineRule="auto"/>
        <w:ind w:firstLine="720"/>
        <w:rPr>
          <w:rFonts w:ascii="Times New Roman" w:hAnsi="Times New Roman" w:cs="Times New Roman"/>
          <w:sz w:val="24"/>
          <w:szCs w:val="24"/>
        </w:rPr>
      </w:pPr>
    </w:p>
    <w:p w14:paraId="1908D84F" w14:textId="035F052D" w:rsidR="00DA6752" w:rsidRDefault="00DA6752" w:rsidP="00DA6752">
      <w:pPr>
        <w:spacing w:line="360" w:lineRule="auto"/>
        <w:ind w:firstLine="720"/>
        <w:rPr>
          <w:rFonts w:ascii="Times New Roman" w:hAnsi="Times New Roman" w:cs="Times New Roman"/>
          <w:sz w:val="24"/>
          <w:szCs w:val="24"/>
        </w:rPr>
      </w:pPr>
    </w:p>
    <w:p w14:paraId="6F5644D8" w14:textId="5B9C06D5" w:rsidR="00DA6752" w:rsidRDefault="00DA6752" w:rsidP="00DA6752">
      <w:pPr>
        <w:spacing w:line="360" w:lineRule="auto"/>
        <w:ind w:firstLine="720"/>
        <w:rPr>
          <w:rFonts w:ascii="Times New Roman" w:hAnsi="Times New Roman" w:cs="Times New Roman"/>
          <w:sz w:val="24"/>
          <w:szCs w:val="24"/>
        </w:rPr>
      </w:pPr>
    </w:p>
    <w:p w14:paraId="0BBEF6AB" w14:textId="76D1CBEE" w:rsidR="00DA6752" w:rsidRPr="00DA6752" w:rsidRDefault="00DA6752" w:rsidP="00DA6752">
      <w:pPr>
        <w:spacing w:line="360" w:lineRule="auto"/>
        <w:ind w:firstLine="720"/>
        <w:jc w:val="center"/>
        <w:rPr>
          <w:rFonts w:ascii="Times New Roman" w:hAnsi="Times New Roman" w:cs="Times New Roman"/>
          <w:b/>
          <w:bCs/>
          <w:sz w:val="40"/>
          <w:szCs w:val="40"/>
          <w:u w:val="single"/>
        </w:rPr>
      </w:pPr>
      <w:r w:rsidRPr="00DA6752">
        <w:rPr>
          <w:rFonts w:ascii="Times New Roman" w:hAnsi="Times New Roman" w:cs="Times New Roman"/>
          <w:b/>
          <w:bCs/>
          <w:sz w:val="40"/>
          <w:szCs w:val="40"/>
          <w:u w:val="single"/>
        </w:rPr>
        <w:lastRenderedPageBreak/>
        <w:t>Raw Data &amp; Rankings</w:t>
      </w:r>
    </w:p>
    <w:p w14:paraId="70C0C98C" w14:textId="77777777" w:rsidR="00F54329" w:rsidRDefault="00F54329" w:rsidP="00F54329">
      <w:pPr>
        <w:spacing w:line="360" w:lineRule="auto"/>
        <w:rPr>
          <w:rFonts w:ascii="Times New Roman" w:hAnsi="Times New Roman" w:cs="Times New Roman"/>
          <w:sz w:val="24"/>
          <w:szCs w:val="24"/>
        </w:rPr>
      </w:pPr>
      <w:r>
        <w:rPr>
          <w:rFonts w:ascii="Times New Roman" w:hAnsi="Times New Roman" w:cs="Times New Roman"/>
          <w:sz w:val="24"/>
          <w:szCs w:val="24"/>
        </w:rPr>
        <w:t>Highways &amp; Bridges</w:t>
      </w:r>
    </w:p>
    <w:tbl>
      <w:tblPr>
        <w:tblStyle w:val="TableGrid"/>
        <w:tblW w:w="10869" w:type="dxa"/>
        <w:tblLook w:val="04A0" w:firstRow="1" w:lastRow="0" w:firstColumn="1" w:lastColumn="0" w:noHBand="0" w:noVBand="1"/>
      </w:tblPr>
      <w:tblGrid>
        <w:gridCol w:w="1552"/>
        <w:gridCol w:w="1552"/>
        <w:gridCol w:w="1553"/>
        <w:gridCol w:w="1553"/>
        <w:gridCol w:w="1553"/>
        <w:gridCol w:w="1553"/>
        <w:gridCol w:w="1553"/>
      </w:tblGrid>
      <w:tr w:rsidR="00F54329" w14:paraId="232E9091" w14:textId="77777777" w:rsidTr="00DA6752">
        <w:trPr>
          <w:trHeight w:val="1015"/>
        </w:trPr>
        <w:tc>
          <w:tcPr>
            <w:tcW w:w="1552" w:type="dxa"/>
          </w:tcPr>
          <w:p w14:paraId="2F00FB5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Material</w:t>
            </w:r>
          </w:p>
        </w:tc>
        <w:tc>
          <w:tcPr>
            <w:tcW w:w="1552" w:type="dxa"/>
          </w:tcPr>
          <w:p w14:paraId="53B71FA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#1 Exporter</w:t>
            </w:r>
          </w:p>
        </w:tc>
        <w:tc>
          <w:tcPr>
            <w:tcW w:w="1553" w:type="dxa"/>
          </w:tcPr>
          <w:p w14:paraId="33455A5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#2 Exporter</w:t>
            </w:r>
          </w:p>
        </w:tc>
        <w:tc>
          <w:tcPr>
            <w:tcW w:w="1553" w:type="dxa"/>
          </w:tcPr>
          <w:p w14:paraId="06A6FF24"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#3 Exporter</w:t>
            </w:r>
          </w:p>
        </w:tc>
        <w:tc>
          <w:tcPr>
            <w:tcW w:w="1553" w:type="dxa"/>
          </w:tcPr>
          <w:p w14:paraId="4F96CB8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#4 Exporter</w:t>
            </w:r>
          </w:p>
        </w:tc>
        <w:tc>
          <w:tcPr>
            <w:tcW w:w="1553" w:type="dxa"/>
          </w:tcPr>
          <w:p w14:paraId="670A4CB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#5 Exporter</w:t>
            </w:r>
          </w:p>
        </w:tc>
        <w:tc>
          <w:tcPr>
            <w:tcW w:w="1553" w:type="dxa"/>
          </w:tcPr>
          <w:p w14:paraId="112DC01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#6 Exporter</w:t>
            </w:r>
          </w:p>
        </w:tc>
      </w:tr>
      <w:tr w:rsidR="00F54329" w14:paraId="7A10AFB3" w14:textId="77777777" w:rsidTr="00DA6752">
        <w:trPr>
          <w:trHeight w:val="946"/>
        </w:trPr>
        <w:tc>
          <w:tcPr>
            <w:tcW w:w="1552" w:type="dxa"/>
          </w:tcPr>
          <w:p w14:paraId="4C6CC139"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Bitumen</w:t>
            </w:r>
          </w:p>
        </w:tc>
        <w:tc>
          <w:tcPr>
            <w:tcW w:w="1552" w:type="dxa"/>
          </w:tcPr>
          <w:p w14:paraId="033D8A8B"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6AF89A0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Malaysia</w:t>
            </w:r>
          </w:p>
        </w:tc>
        <w:tc>
          <w:tcPr>
            <w:tcW w:w="1553" w:type="dxa"/>
          </w:tcPr>
          <w:p w14:paraId="5E3942A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U.A.E.</w:t>
            </w:r>
          </w:p>
        </w:tc>
        <w:tc>
          <w:tcPr>
            <w:tcW w:w="1553" w:type="dxa"/>
          </w:tcPr>
          <w:p w14:paraId="55BFD2AB"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Colombia</w:t>
            </w:r>
          </w:p>
        </w:tc>
        <w:tc>
          <w:tcPr>
            <w:tcW w:w="1553" w:type="dxa"/>
          </w:tcPr>
          <w:p w14:paraId="3B01D29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Iran</w:t>
            </w:r>
          </w:p>
        </w:tc>
        <w:tc>
          <w:tcPr>
            <w:tcW w:w="1553" w:type="dxa"/>
          </w:tcPr>
          <w:p w14:paraId="4FF80CD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South Africa</w:t>
            </w:r>
          </w:p>
        </w:tc>
      </w:tr>
      <w:tr w:rsidR="00F54329" w14:paraId="1106FBFF" w14:textId="77777777" w:rsidTr="00DA6752">
        <w:trPr>
          <w:trHeight w:val="946"/>
        </w:trPr>
        <w:tc>
          <w:tcPr>
            <w:tcW w:w="1552" w:type="dxa"/>
          </w:tcPr>
          <w:p w14:paraId="6D3156F1"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Concrete</w:t>
            </w:r>
          </w:p>
        </w:tc>
        <w:tc>
          <w:tcPr>
            <w:tcW w:w="1552" w:type="dxa"/>
          </w:tcPr>
          <w:p w14:paraId="18E15191"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Vietnam</w:t>
            </w:r>
          </w:p>
        </w:tc>
        <w:tc>
          <w:tcPr>
            <w:tcW w:w="1553" w:type="dxa"/>
          </w:tcPr>
          <w:p w14:paraId="1702DE74"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Turkey</w:t>
            </w:r>
          </w:p>
        </w:tc>
        <w:tc>
          <w:tcPr>
            <w:tcW w:w="1553" w:type="dxa"/>
          </w:tcPr>
          <w:p w14:paraId="641CB32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Thailand</w:t>
            </w:r>
          </w:p>
        </w:tc>
        <w:tc>
          <w:tcPr>
            <w:tcW w:w="1553" w:type="dxa"/>
          </w:tcPr>
          <w:p w14:paraId="3C119CA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0AB4C44A"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53DAEEC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Japan</w:t>
            </w:r>
          </w:p>
        </w:tc>
      </w:tr>
      <w:tr w:rsidR="00F54329" w14:paraId="337104B7" w14:textId="77777777" w:rsidTr="00DA6752">
        <w:trPr>
          <w:trHeight w:val="973"/>
        </w:trPr>
        <w:tc>
          <w:tcPr>
            <w:tcW w:w="1552" w:type="dxa"/>
          </w:tcPr>
          <w:p w14:paraId="53FE25D9"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Steel</w:t>
            </w:r>
          </w:p>
        </w:tc>
        <w:tc>
          <w:tcPr>
            <w:tcW w:w="1552" w:type="dxa"/>
          </w:tcPr>
          <w:p w14:paraId="57FEE93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6945FF0E"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Russia</w:t>
            </w:r>
          </w:p>
        </w:tc>
        <w:tc>
          <w:tcPr>
            <w:tcW w:w="1553" w:type="dxa"/>
          </w:tcPr>
          <w:p w14:paraId="3D56A3A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South Korea</w:t>
            </w:r>
          </w:p>
        </w:tc>
        <w:tc>
          <w:tcPr>
            <w:tcW w:w="1553" w:type="dxa"/>
          </w:tcPr>
          <w:p w14:paraId="3FD07F1A"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Japan</w:t>
            </w:r>
          </w:p>
        </w:tc>
        <w:tc>
          <w:tcPr>
            <w:tcW w:w="1553" w:type="dxa"/>
          </w:tcPr>
          <w:p w14:paraId="3CA8EEF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Germany</w:t>
            </w:r>
          </w:p>
        </w:tc>
        <w:tc>
          <w:tcPr>
            <w:tcW w:w="1553" w:type="dxa"/>
          </w:tcPr>
          <w:p w14:paraId="37E3A65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Turkey</w:t>
            </w:r>
          </w:p>
        </w:tc>
      </w:tr>
      <w:tr w:rsidR="00F54329" w14:paraId="24106BC7" w14:textId="77777777" w:rsidTr="00DA6752">
        <w:trPr>
          <w:trHeight w:val="946"/>
        </w:trPr>
        <w:tc>
          <w:tcPr>
            <w:tcW w:w="1552" w:type="dxa"/>
          </w:tcPr>
          <w:p w14:paraId="5B8B202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Aluminum</w:t>
            </w:r>
          </w:p>
        </w:tc>
        <w:tc>
          <w:tcPr>
            <w:tcW w:w="1552" w:type="dxa"/>
          </w:tcPr>
          <w:p w14:paraId="035D096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233E85B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Netherlands</w:t>
            </w:r>
          </w:p>
        </w:tc>
        <w:tc>
          <w:tcPr>
            <w:tcW w:w="1553" w:type="dxa"/>
          </w:tcPr>
          <w:p w14:paraId="309C9A6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U.A.E.</w:t>
            </w:r>
          </w:p>
        </w:tc>
        <w:tc>
          <w:tcPr>
            <w:tcW w:w="1553" w:type="dxa"/>
          </w:tcPr>
          <w:p w14:paraId="02DBD12A"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Russia</w:t>
            </w:r>
          </w:p>
        </w:tc>
        <w:tc>
          <w:tcPr>
            <w:tcW w:w="1553" w:type="dxa"/>
          </w:tcPr>
          <w:p w14:paraId="45F3DBC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India</w:t>
            </w:r>
          </w:p>
        </w:tc>
        <w:tc>
          <w:tcPr>
            <w:tcW w:w="1553" w:type="dxa"/>
          </w:tcPr>
          <w:p w14:paraId="3743188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 xml:space="preserve">Norway </w:t>
            </w:r>
          </w:p>
        </w:tc>
      </w:tr>
      <w:tr w:rsidR="00F54329" w14:paraId="0F0D44C7" w14:textId="77777777" w:rsidTr="00DA6752">
        <w:trPr>
          <w:trHeight w:val="946"/>
        </w:trPr>
        <w:tc>
          <w:tcPr>
            <w:tcW w:w="1552" w:type="dxa"/>
          </w:tcPr>
          <w:p w14:paraId="2503736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Plastic</w:t>
            </w:r>
          </w:p>
        </w:tc>
        <w:tc>
          <w:tcPr>
            <w:tcW w:w="1552" w:type="dxa"/>
          </w:tcPr>
          <w:p w14:paraId="106E3206"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6E81C53A"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Germany</w:t>
            </w:r>
          </w:p>
        </w:tc>
        <w:tc>
          <w:tcPr>
            <w:tcW w:w="1553" w:type="dxa"/>
          </w:tcPr>
          <w:p w14:paraId="037832FE"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Italy</w:t>
            </w:r>
          </w:p>
        </w:tc>
        <w:tc>
          <w:tcPr>
            <w:tcW w:w="1553" w:type="dxa"/>
          </w:tcPr>
          <w:p w14:paraId="3548E38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France</w:t>
            </w:r>
          </w:p>
        </w:tc>
        <w:tc>
          <w:tcPr>
            <w:tcW w:w="1553" w:type="dxa"/>
          </w:tcPr>
          <w:p w14:paraId="484EC20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Netherlands</w:t>
            </w:r>
          </w:p>
        </w:tc>
        <w:tc>
          <w:tcPr>
            <w:tcW w:w="1553" w:type="dxa"/>
          </w:tcPr>
          <w:p w14:paraId="1075B77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Poland</w:t>
            </w:r>
          </w:p>
        </w:tc>
      </w:tr>
      <w:tr w:rsidR="00F54329" w14:paraId="44C0311D" w14:textId="77777777" w:rsidTr="00DA6752">
        <w:trPr>
          <w:trHeight w:val="946"/>
        </w:trPr>
        <w:tc>
          <w:tcPr>
            <w:tcW w:w="1552" w:type="dxa"/>
          </w:tcPr>
          <w:p w14:paraId="1FBEEC07"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Iron</w:t>
            </w:r>
          </w:p>
        </w:tc>
        <w:tc>
          <w:tcPr>
            <w:tcW w:w="1552" w:type="dxa"/>
          </w:tcPr>
          <w:p w14:paraId="7A71917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Australia</w:t>
            </w:r>
          </w:p>
        </w:tc>
        <w:tc>
          <w:tcPr>
            <w:tcW w:w="1553" w:type="dxa"/>
          </w:tcPr>
          <w:p w14:paraId="71E5B880"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Brazil</w:t>
            </w:r>
          </w:p>
        </w:tc>
        <w:tc>
          <w:tcPr>
            <w:tcW w:w="1553" w:type="dxa"/>
          </w:tcPr>
          <w:p w14:paraId="14E3EA8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South Africa</w:t>
            </w:r>
          </w:p>
        </w:tc>
        <w:tc>
          <w:tcPr>
            <w:tcW w:w="1553" w:type="dxa"/>
          </w:tcPr>
          <w:p w14:paraId="06A929C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22B40D2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Ukraine</w:t>
            </w:r>
          </w:p>
        </w:tc>
        <w:tc>
          <w:tcPr>
            <w:tcW w:w="1553" w:type="dxa"/>
          </w:tcPr>
          <w:p w14:paraId="706A9AC3"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India</w:t>
            </w:r>
          </w:p>
        </w:tc>
      </w:tr>
      <w:tr w:rsidR="00F54329" w14:paraId="506ED3F7" w14:textId="77777777" w:rsidTr="00DA6752">
        <w:trPr>
          <w:trHeight w:val="946"/>
        </w:trPr>
        <w:tc>
          <w:tcPr>
            <w:tcW w:w="1552" w:type="dxa"/>
          </w:tcPr>
          <w:p w14:paraId="1C28EC3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Bronze</w:t>
            </w:r>
          </w:p>
        </w:tc>
        <w:tc>
          <w:tcPr>
            <w:tcW w:w="1552" w:type="dxa"/>
          </w:tcPr>
          <w:p w14:paraId="68F9F8A7"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Chile</w:t>
            </w:r>
          </w:p>
        </w:tc>
        <w:tc>
          <w:tcPr>
            <w:tcW w:w="1553" w:type="dxa"/>
          </w:tcPr>
          <w:p w14:paraId="58C50B3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Peru</w:t>
            </w:r>
          </w:p>
        </w:tc>
        <w:tc>
          <w:tcPr>
            <w:tcW w:w="1553" w:type="dxa"/>
          </w:tcPr>
          <w:p w14:paraId="1A4D049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Australia</w:t>
            </w:r>
          </w:p>
        </w:tc>
        <w:tc>
          <w:tcPr>
            <w:tcW w:w="1553" w:type="dxa"/>
          </w:tcPr>
          <w:p w14:paraId="17B50D9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17D7F8D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Brazil</w:t>
            </w:r>
          </w:p>
        </w:tc>
        <w:tc>
          <w:tcPr>
            <w:tcW w:w="1553" w:type="dxa"/>
          </w:tcPr>
          <w:p w14:paraId="5371D114"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Mexico</w:t>
            </w:r>
          </w:p>
        </w:tc>
      </w:tr>
      <w:tr w:rsidR="00F54329" w14:paraId="53312B82" w14:textId="77777777" w:rsidTr="00DA6752">
        <w:trPr>
          <w:trHeight w:val="946"/>
        </w:trPr>
        <w:tc>
          <w:tcPr>
            <w:tcW w:w="1552" w:type="dxa"/>
          </w:tcPr>
          <w:p w14:paraId="6182F96E"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Buses</w:t>
            </w:r>
          </w:p>
        </w:tc>
        <w:tc>
          <w:tcPr>
            <w:tcW w:w="1552" w:type="dxa"/>
          </w:tcPr>
          <w:p w14:paraId="78A7E10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5B71A5BC"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Japan</w:t>
            </w:r>
          </w:p>
        </w:tc>
        <w:tc>
          <w:tcPr>
            <w:tcW w:w="1553" w:type="dxa"/>
          </w:tcPr>
          <w:p w14:paraId="31EFFA6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Turkey</w:t>
            </w:r>
          </w:p>
        </w:tc>
        <w:tc>
          <w:tcPr>
            <w:tcW w:w="1553" w:type="dxa"/>
          </w:tcPr>
          <w:p w14:paraId="5E6745B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Germany</w:t>
            </w:r>
          </w:p>
        </w:tc>
        <w:tc>
          <w:tcPr>
            <w:tcW w:w="1553" w:type="dxa"/>
          </w:tcPr>
          <w:p w14:paraId="3AE9A18B"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Poland</w:t>
            </w:r>
          </w:p>
        </w:tc>
        <w:tc>
          <w:tcPr>
            <w:tcW w:w="1553" w:type="dxa"/>
          </w:tcPr>
          <w:p w14:paraId="2FE73035"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r>
      <w:tr w:rsidR="00F54329" w14:paraId="4916F73E" w14:textId="77777777" w:rsidTr="00DA6752">
        <w:trPr>
          <w:trHeight w:val="946"/>
        </w:trPr>
        <w:tc>
          <w:tcPr>
            <w:tcW w:w="1552" w:type="dxa"/>
          </w:tcPr>
          <w:p w14:paraId="52974B11"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 xml:space="preserve">Construction Machinery </w:t>
            </w:r>
          </w:p>
        </w:tc>
        <w:tc>
          <w:tcPr>
            <w:tcW w:w="1552" w:type="dxa"/>
          </w:tcPr>
          <w:p w14:paraId="1127AD8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3A3A0D62"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Mexico</w:t>
            </w:r>
          </w:p>
        </w:tc>
        <w:tc>
          <w:tcPr>
            <w:tcW w:w="1553" w:type="dxa"/>
          </w:tcPr>
          <w:p w14:paraId="6020388C"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4F264BCB"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Japan</w:t>
            </w:r>
          </w:p>
        </w:tc>
        <w:tc>
          <w:tcPr>
            <w:tcW w:w="1553" w:type="dxa"/>
          </w:tcPr>
          <w:p w14:paraId="0B368B0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Germany</w:t>
            </w:r>
          </w:p>
        </w:tc>
        <w:tc>
          <w:tcPr>
            <w:tcW w:w="1553" w:type="dxa"/>
          </w:tcPr>
          <w:p w14:paraId="4680750B"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South Korea</w:t>
            </w:r>
          </w:p>
        </w:tc>
      </w:tr>
      <w:tr w:rsidR="00F54329" w14:paraId="5738A1AA" w14:textId="77777777" w:rsidTr="00DA6752">
        <w:trPr>
          <w:trHeight w:val="946"/>
        </w:trPr>
        <w:tc>
          <w:tcPr>
            <w:tcW w:w="1552" w:type="dxa"/>
          </w:tcPr>
          <w:p w14:paraId="3ED3CBAC"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 xml:space="preserve">Oil </w:t>
            </w:r>
          </w:p>
        </w:tc>
        <w:tc>
          <w:tcPr>
            <w:tcW w:w="1552" w:type="dxa"/>
          </w:tcPr>
          <w:p w14:paraId="5E394D0A"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Saudi Arabia</w:t>
            </w:r>
          </w:p>
        </w:tc>
        <w:tc>
          <w:tcPr>
            <w:tcW w:w="1553" w:type="dxa"/>
          </w:tcPr>
          <w:p w14:paraId="574D6461"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Russia</w:t>
            </w:r>
          </w:p>
        </w:tc>
        <w:tc>
          <w:tcPr>
            <w:tcW w:w="1553" w:type="dxa"/>
          </w:tcPr>
          <w:p w14:paraId="4F10BEB8"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Canada</w:t>
            </w:r>
          </w:p>
        </w:tc>
        <w:tc>
          <w:tcPr>
            <w:tcW w:w="1553" w:type="dxa"/>
          </w:tcPr>
          <w:p w14:paraId="50717EBF"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China</w:t>
            </w:r>
          </w:p>
        </w:tc>
        <w:tc>
          <w:tcPr>
            <w:tcW w:w="1553" w:type="dxa"/>
          </w:tcPr>
          <w:p w14:paraId="2D18406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Iraq</w:t>
            </w:r>
          </w:p>
        </w:tc>
        <w:tc>
          <w:tcPr>
            <w:tcW w:w="1553" w:type="dxa"/>
          </w:tcPr>
          <w:p w14:paraId="166C63AD" w14:textId="77777777" w:rsidR="00F54329" w:rsidRDefault="00F54329" w:rsidP="00AE7CA2">
            <w:pPr>
              <w:spacing w:line="360" w:lineRule="auto"/>
              <w:rPr>
                <w:rFonts w:ascii="Times New Roman" w:hAnsi="Times New Roman" w:cs="Times New Roman"/>
                <w:sz w:val="24"/>
                <w:szCs w:val="24"/>
              </w:rPr>
            </w:pPr>
            <w:r>
              <w:rPr>
                <w:rFonts w:ascii="Times New Roman" w:hAnsi="Times New Roman" w:cs="Times New Roman"/>
                <w:sz w:val="24"/>
                <w:szCs w:val="24"/>
              </w:rPr>
              <w:t>U.A.E.</w:t>
            </w:r>
          </w:p>
        </w:tc>
      </w:tr>
    </w:tbl>
    <w:p w14:paraId="5DA3D21F" w14:textId="77777777" w:rsidR="00F54329" w:rsidRPr="00F54329" w:rsidRDefault="00F54329" w:rsidP="00F54329">
      <w:pPr>
        <w:spacing w:line="360" w:lineRule="auto"/>
        <w:rPr>
          <w:rFonts w:ascii="Times New Roman" w:hAnsi="Times New Roman" w:cs="Times New Roman"/>
          <w:sz w:val="24"/>
          <w:szCs w:val="24"/>
        </w:rPr>
      </w:pPr>
    </w:p>
    <w:p w14:paraId="6A9FE5BD" w14:textId="77777777" w:rsidR="00E05B3C" w:rsidRPr="00F54329" w:rsidRDefault="00E05B3C" w:rsidP="00F54329">
      <w:pPr>
        <w:spacing w:line="360" w:lineRule="auto"/>
        <w:rPr>
          <w:rFonts w:ascii="Times New Roman" w:hAnsi="Times New Roman" w:cs="Times New Roman"/>
          <w:sz w:val="24"/>
          <w:szCs w:val="24"/>
        </w:rPr>
      </w:pPr>
    </w:p>
    <w:sectPr w:rsidR="00E05B3C" w:rsidRPr="00F54329" w:rsidSect="00A86F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082"/>
    <w:rsid w:val="000E4719"/>
    <w:rsid w:val="001379F7"/>
    <w:rsid w:val="003F2FDE"/>
    <w:rsid w:val="00560A47"/>
    <w:rsid w:val="00571CF1"/>
    <w:rsid w:val="005D2F03"/>
    <w:rsid w:val="00670AEC"/>
    <w:rsid w:val="00705F8E"/>
    <w:rsid w:val="00750082"/>
    <w:rsid w:val="00857608"/>
    <w:rsid w:val="00881361"/>
    <w:rsid w:val="0096129F"/>
    <w:rsid w:val="00A45C3E"/>
    <w:rsid w:val="00A86F90"/>
    <w:rsid w:val="00AA43C2"/>
    <w:rsid w:val="00DA6752"/>
    <w:rsid w:val="00E05B3C"/>
    <w:rsid w:val="00F54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946DA"/>
  <w15:chartTrackingRefBased/>
  <w15:docId w15:val="{CC800900-2CE0-4843-8E90-C524BA6FB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0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0082"/>
    <w:rPr>
      <w:color w:val="0563C1" w:themeColor="hyperlink"/>
      <w:u w:val="single"/>
    </w:rPr>
  </w:style>
  <w:style w:type="table" w:styleId="TableGrid">
    <w:name w:val="Table Grid"/>
    <w:basedOn w:val="TableNormal"/>
    <w:uiPriority w:val="39"/>
    <w:rsid w:val="00857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hyperlink" Target="https://globalaffairswithgregayres.co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Benefitting</a:t>
            </a:r>
            <a:r>
              <a:rPr lang="en-US" baseline="0"/>
              <a:t> From U.S. Infrastructure Spending</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1567628849543416E-2"/>
          <c:y val="0.12192636423405655"/>
          <c:w val="0.90780994895323119"/>
          <c:h val="0.63419321105571858"/>
        </c:manualLayout>
      </c:layout>
      <c:barChart>
        <c:barDir val="col"/>
        <c:grouping val="clustered"/>
        <c:varyColors val="0"/>
        <c:ser>
          <c:idx val="0"/>
          <c:order val="0"/>
          <c:spPr>
            <a:solidFill>
              <a:schemeClr val="tx1"/>
            </a:solidFill>
            <a:ln w="66675">
              <a:solidFill>
                <a:schemeClr val="accent1"/>
              </a:solidFill>
              <a:miter lim="800000"/>
            </a:ln>
            <a:effectLst/>
          </c:spPr>
          <c:invertIfNegative val="0"/>
          <c:dPt>
            <c:idx val="0"/>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1-2B4E-4315-ACE4-5BD4D6FB4D9F}"/>
              </c:ext>
            </c:extLst>
          </c:dPt>
          <c:dPt>
            <c:idx val="1"/>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3-2B4E-4315-ACE4-5BD4D6FB4D9F}"/>
              </c:ext>
            </c:extLst>
          </c:dPt>
          <c:dPt>
            <c:idx val="2"/>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5-2B4E-4315-ACE4-5BD4D6FB4D9F}"/>
              </c:ext>
            </c:extLst>
          </c:dPt>
          <c:dPt>
            <c:idx val="3"/>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7-2B4E-4315-ACE4-5BD4D6FB4D9F}"/>
              </c:ext>
            </c:extLst>
          </c:dPt>
          <c:dPt>
            <c:idx val="4"/>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9-2B4E-4315-ACE4-5BD4D6FB4D9F}"/>
              </c:ext>
            </c:extLst>
          </c:dPt>
          <c:dPt>
            <c:idx val="5"/>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B-2B4E-4315-ACE4-5BD4D6FB4D9F}"/>
              </c:ext>
            </c:extLst>
          </c:dPt>
          <c:dPt>
            <c:idx val="6"/>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D-2B4E-4315-ACE4-5BD4D6FB4D9F}"/>
              </c:ext>
            </c:extLst>
          </c:dPt>
          <c:dPt>
            <c:idx val="7"/>
            <c:invertIfNegative val="0"/>
            <c:bubble3D val="0"/>
            <c:spPr>
              <a:solidFill>
                <a:schemeClr val="tx1"/>
              </a:solidFill>
              <a:ln w="66675">
                <a:solidFill>
                  <a:schemeClr val="tx1"/>
                </a:solidFill>
                <a:miter lim="800000"/>
              </a:ln>
              <a:effectLst/>
            </c:spPr>
            <c:extLst>
              <c:ext xmlns:c16="http://schemas.microsoft.com/office/drawing/2014/chart" uri="{C3380CC4-5D6E-409C-BE32-E72D297353CC}">
                <c16:uniqueId val="{0000000F-2B4E-4315-ACE4-5BD4D6FB4D9F}"/>
              </c:ext>
            </c:extLst>
          </c:dPt>
          <c:dPt>
            <c:idx val="9"/>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1-2B4E-4315-ACE4-5BD4D6FB4D9F}"/>
              </c:ext>
            </c:extLst>
          </c:dPt>
          <c:dPt>
            <c:idx val="10"/>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3-2B4E-4315-ACE4-5BD4D6FB4D9F}"/>
              </c:ext>
            </c:extLst>
          </c:dPt>
          <c:dPt>
            <c:idx val="11"/>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5-2B4E-4315-ACE4-5BD4D6FB4D9F}"/>
              </c:ext>
            </c:extLst>
          </c:dPt>
          <c:dPt>
            <c:idx val="12"/>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7-2B4E-4315-ACE4-5BD4D6FB4D9F}"/>
              </c:ext>
            </c:extLst>
          </c:dPt>
          <c:dPt>
            <c:idx val="13"/>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9-2B4E-4315-ACE4-5BD4D6FB4D9F}"/>
              </c:ext>
            </c:extLst>
          </c:dPt>
          <c:dPt>
            <c:idx val="14"/>
            <c:invertIfNegative val="0"/>
            <c:bubble3D val="0"/>
            <c:spPr>
              <a:solidFill>
                <a:schemeClr val="tx1"/>
              </a:solidFill>
              <a:ln w="66675">
                <a:solidFill>
                  <a:srgbClr val="7030A0"/>
                </a:solidFill>
                <a:miter lim="800000"/>
              </a:ln>
              <a:effectLst/>
            </c:spPr>
            <c:extLst>
              <c:ext xmlns:c16="http://schemas.microsoft.com/office/drawing/2014/chart" uri="{C3380CC4-5D6E-409C-BE32-E72D297353CC}">
                <c16:uniqueId val="{0000001B-2B4E-4315-ACE4-5BD4D6FB4D9F}"/>
              </c:ext>
            </c:extLst>
          </c:dPt>
          <c:dPt>
            <c:idx val="16"/>
            <c:invertIfNegative val="0"/>
            <c:bubble3D val="0"/>
            <c:spPr>
              <a:solidFill>
                <a:schemeClr val="tx1"/>
              </a:solidFill>
              <a:ln w="66675">
                <a:solidFill>
                  <a:schemeClr val="accent3">
                    <a:lumMod val="50000"/>
                  </a:schemeClr>
                </a:solidFill>
                <a:miter lim="800000"/>
              </a:ln>
              <a:effectLst/>
            </c:spPr>
            <c:extLst>
              <c:ext xmlns:c16="http://schemas.microsoft.com/office/drawing/2014/chart" uri="{C3380CC4-5D6E-409C-BE32-E72D297353CC}">
                <c16:uniqueId val="{0000001D-2B4E-4315-ACE4-5BD4D6FB4D9F}"/>
              </c:ext>
            </c:extLst>
          </c:dPt>
          <c:dPt>
            <c:idx val="17"/>
            <c:invertIfNegative val="0"/>
            <c:bubble3D val="0"/>
            <c:spPr>
              <a:solidFill>
                <a:schemeClr val="tx1"/>
              </a:solidFill>
              <a:ln w="66675">
                <a:solidFill>
                  <a:schemeClr val="accent3">
                    <a:lumMod val="50000"/>
                  </a:schemeClr>
                </a:solidFill>
                <a:miter lim="800000"/>
              </a:ln>
              <a:effectLst/>
            </c:spPr>
            <c:extLst>
              <c:ext xmlns:c16="http://schemas.microsoft.com/office/drawing/2014/chart" uri="{C3380CC4-5D6E-409C-BE32-E72D297353CC}">
                <c16:uniqueId val="{0000001F-2B4E-4315-ACE4-5BD4D6FB4D9F}"/>
              </c:ext>
            </c:extLst>
          </c:dPt>
          <c:dPt>
            <c:idx val="18"/>
            <c:invertIfNegative val="0"/>
            <c:bubble3D val="0"/>
            <c:spPr>
              <a:solidFill>
                <a:schemeClr val="tx1"/>
              </a:solidFill>
              <a:ln w="66675">
                <a:solidFill>
                  <a:schemeClr val="accent3">
                    <a:lumMod val="50000"/>
                  </a:schemeClr>
                </a:solidFill>
                <a:miter lim="800000"/>
              </a:ln>
              <a:effectLst/>
            </c:spPr>
            <c:extLst>
              <c:ext xmlns:c16="http://schemas.microsoft.com/office/drawing/2014/chart" uri="{C3380CC4-5D6E-409C-BE32-E72D297353CC}">
                <c16:uniqueId val="{00000021-2B4E-4315-ACE4-5BD4D6FB4D9F}"/>
              </c:ext>
            </c:extLst>
          </c:dPt>
          <c:dPt>
            <c:idx val="25"/>
            <c:invertIfNegative val="0"/>
            <c:bubble3D val="0"/>
            <c:spPr>
              <a:solidFill>
                <a:schemeClr val="tx1"/>
              </a:solidFill>
              <a:ln w="66675">
                <a:solidFill>
                  <a:srgbClr val="FF0000"/>
                </a:solidFill>
                <a:miter lim="800000"/>
              </a:ln>
              <a:effectLst/>
            </c:spPr>
            <c:extLst>
              <c:ext xmlns:c16="http://schemas.microsoft.com/office/drawing/2014/chart" uri="{C3380CC4-5D6E-409C-BE32-E72D297353CC}">
                <c16:uniqueId val="{00000023-2B4E-4315-ACE4-5BD4D6FB4D9F}"/>
              </c:ext>
            </c:extLst>
          </c:dPt>
          <c:dPt>
            <c:idx val="26"/>
            <c:invertIfNegative val="0"/>
            <c:bubble3D val="0"/>
            <c:spPr>
              <a:solidFill>
                <a:schemeClr val="tx1"/>
              </a:solidFill>
              <a:ln w="66675">
                <a:solidFill>
                  <a:srgbClr val="FF0000"/>
                </a:solidFill>
                <a:miter lim="800000"/>
              </a:ln>
              <a:effectLst/>
            </c:spPr>
            <c:extLst>
              <c:ext xmlns:c16="http://schemas.microsoft.com/office/drawing/2014/chart" uri="{C3380CC4-5D6E-409C-BE32-E72D297353CC}">
                <c16:uniqueId val="{00000025-2B4E-4315-ACE4-5BD4D6FB4D9F}"/>
              </c:ext>
            </c:extLst>
          </c:dPt>
          <c:dPt>
            <c:idx val="27"/>
            <c:invertIfNegative val="0"/>
            <c:bubble3D val="0"/>
            <c:spPr>
              <a:solidFill>
                <a:schemeClr val="tx1"/>
              </a:solidFill>
              <a:ln w="66675">
                <a:solidFill>
                  <a:srgbClr val="FF0000"/>
                </a:solidFill>
                <a:miter lim="800000"/>
              </a:ln>
              <a:effectLst/>
            </c:spPr>
            <c:extLst>
              <c:ext xmlns:c16="http://schemas.microsoft.com/office/drawing/2014/chart" uri="{C3380CC4-5D6E-409C-BE32-E72D297353CC}">
                <c16:uniqueId val="{00000027-2B4E-4315-ACE4-5BD4D6FB4D9F}"/>
              </c:ext>
            </c:extLst>
          </c:dPt>
          <c:dPt>
            <c:idx val="28"/>
            <c:invertIfNegative val="0"/>
            <c:bubble3D val="0"/>
            <c:spPr>
              <a:solidFill>
                <a:schemeClr val="tx1"/>
              </a:solidFill>
              <a:ln w="66675">
                <a:solidFill>
                  <a:srgbClr val="FF0000"/>
                </a:solidFill>
                <a:miter lim="800000"/>
              </a:ln>
              <a:effectLst/>
            </c:spPr>
            <c:extLst>
              <c:ext xmlns:c16="http://schemas.microsoft.com/office/drawing/2014/chart" uri="{C3380CC4-5D6E-409C-BE32-E72D297353CC}">
                <c16:uniqueId val="{00000029-2B4E-4315-ACE4-5BD4D6FB4D9F}"/>
              </c:ext>
            </c:extLst>
          </c:dPt>
          <c:dPt>
            <c:idx val="30"/>
            <c:invertIfNegative val="0"/>
            <c:bubble3D val="0"/>
            <c:spPr>
              <a:solidFill>
                <a:schemeClr val="tx1"/>
              </a:solidFill>
              <a:ln w="66675">
                <a:solidFill>
                  <a:schemeClr val="accent4"/>
                </a:solidFill>
                <a:miter lim="800000"/>
              </a:ln>
              <a:effectLst/>
            </c:spPr>
            <c:extLst>
              <c:ext xmlns:c16="http://schemas.microsoft.com/office/drawing/2014/chart" uri="{C3380CC4-5D6E-409C-BE32-E72D297353CC}">
                <c16:uniqueId val="{0000002B-2B4E-4315-ACE4-5BD4D6FB4D9F}"/>
              </c:ext>
            </c:extLst>
          </c:dPt>
          <c:dPt>
            <c:idx val="31"/>
            <c:invertIfNegative val="0"/>
            <c:bubble3D val="0"/>
            <c:spPr>
              <a:solidFill>
                <a:schemeClr val="tx1"/>
              </a:solidFill>
              <a:ln w="66675">
                <a:solidFill>
                  <a:schemeClr val="accent4"/>
                </a:solidFill>
                <a:miter lim="800000"/>
              </a:ln>
              <a:effectLst/>
            </c:spPr>
            <c:extLst>
              <c:ext xmlns:c16="http://schemas.microsoft.com/office/drawing/2014/chart" uri="{C3380CC4-5D6E-409C-BE32-E72D297353CC}">
                <c16:uniqueId val="{0000002D-2B4E-4315-ACE4-5BD4D6FB4D9F}"/>
              </c:ext>
            </c:extLst>
          </c:dPt>
          <c:dPt>
            <c:idx val="33"/>
            <c:invertIfNegative val="0"/>
            <c:bubble3D val="0"/>
            <c:spPr>
              <a:solidFill>
                <a:schemeClr val="tx1"/>
              </a:solidFill>
              <a:ln w="66675">
                <a:solidFill>
                  <a:srgbClr val="92D050"/>
                </a:solidFill>
                <a:miter lim="800000"/>
              </a:ln>
              <a:effectLst/>
            </c:spPr>
            <c:extLst>
              <c:ext xmlns:c16="http://schemas.microsoft.com/office/drawing/2014/chart" uri="{C3380CC4-5D6E-409C-BE32-E72D297353CC}">
                <c16:uniqueId val="{0000002F-2B4E-4315-ACE4-5BD4D6FB4D9F}"/>
              </c:ext>
            </c:extLst>
          </c:dPt>
          <c:dPt>
            <c:idx val="34"/>
            <c:invertIfNegative val="0"/>
            <c:bubble3D val="0"/>
            <c:spPr>
              <a:solidFill>
                <a:schemeClr val="tx1"/>
              </a:solidFill>
              <a:ln w="66675">
                <a:solidFill>
                  <a:srgbClr val="92D050"/>
                </a:solidFill>
                <a:miter lim="800000"/>
              </a:ln>
              <a:effectLst/>
            </c:spPr>
            <c:extLst>
              <c:ext xmlns:c16="http://schemas.microsoft.com/office/drawing/2014/chart" uri="{C3380CC4-5D6E-409C-BE32-E72D297353CC}">
                <c16:uniqueId val="{00000031-2B4E-4315-ACE4-5BD4D6FB4D9F}"/>
              </c:ext>
            </c:extLst>
          </c:dPt>
          <c:dPt>
            <c:idx val="35"/>
            <c:invertIfNegative val="0"/>
            <c:bubble3D val="0"/>
            <c:spPr>
              <a:solidFill>
                <a:schemeClr val="tx1"/>
              </a:solidFill>
              <a:ln w="66675">
                <a:solidFill>
                  <a:srgbClr val="92D050"/>
                </a:solidFill>
                <a:miter lim="800000"/>
              </a:ln>
              <a:effectLst/>
            </c:spPr>
            <c:extLst>
              <c:ext xmlns:c16="http://schemas.microsoft.com/office/drawing/2014/chart" uri="{C3380CC4-5D6E-409C-BE32-E72D297353CC}">
                <c16:uniqueId val="{00000033-2B4E-4315-ACE4-5BD4D6FB4D9F}"/>
              </c:ext>
            </c:extLst>
          </c:dPt>
          <c:dPt>
            <c:idx val="37"/>
            <c:invertIfNegative val="0"/>
            <c:bubble3D val="0"/>
            <c:spPr>
              <a:solidFill>
                <a:schemeClr val="tx1"/>
              </a:solidFill>
              <a:ln w="66675">
                <a:solidFill>
                  <a:srgbClr val="C00000"/>
                </a:solidFill>
                <a:miter lim="800000"/>
              </a:ln>
              <a:effectLst/>
            </c:spPr>
            <c:extLst>
              <c:ext xmlns:c16="http://schemas.microsoft.com/office/drawing/2014/chart" uri="{C3380CC4-5D6E-409C-BE32-E72D297353CC}">
                <c16:uniqueId val="{00000035-2B4E-4315-ACE4-5BD4D6FB4D9F}"/>
              </c:ext>
            </c:extLst>
          </c:dPt>
          <c:dPt>
            <c:idx val="38"/>
            <c:invertIfNegative val="0"/>
            <c:bubble3D val="0"/>
            <c:spPr>
              <a:solidFill>
                <a:schemeClr val="tx1"/>
              </a:solidFill>
              <a:ln w="66675">
                <a:solidFill>
                  <a:srgbClr val="C00000"/>
                </a:solidFill>
                <a:miter lim="800000"/>
              </a:ln>
              <a:effectLst/>
            </c:spPr>
            <c:extLst>
              <c:ext xmlns:c16="http://schemas.microsoft.com/office/drawing/2014/chart" uri="{C3380CC4-5D6E-409C-BE32-E72D297353CC}">
                <c16:uniqueId val="{00000037-2B4E-4315-ACE4-5BD4D6FB4D9F}"/>
              </c:ext>
            </c:extLst>
          </c:dPt>
          <c:dPt>
            <c:idx val="39"/>
            <c:invertIfNegative val="0"/>
            <c:bubble3D val="0"/>
            <c:spPr>
              <a:solidFill>
                <a:schemeClr val="tx1"/>
              </a:solidFill>
              <a:ln w="66675">
                <a:solidFill>
                  <a:srgbClr val="C00000"/>
                </a:solidFill>
                <a:miter lim="800000"/>
              </a:ln>
              <a:effectLst/>
            </c:spPr>
            <c:extLst>
              <c:ext xmlns:c16="http://schemas.microsoft.com/office/drawing/2014/chart" uri="{C3380CC4-5D6E-409C-BE32-E72D297353CC}">
                <c16:uniqueId val="{00000039-2B4E-4315-ACE4-5BD4D6FB4D9F}"/>
              </c:ext>
            </c:extLst>
          </c:dPt>
          <c:dPt>
            <c:idx val="41"/>
            <c:invertIfNegative val="0"/>
            <c:bubble3D val="0"/>
            <c:spPr>
              <a:solidFill>
                <a:schemeClr val="tx1"/>
              </a:solidFill>
              <a:ln w="66675">
                <a:solidFill>
                  <a:srgbClr val="00B0F0"/>
                </a:solidFill>
                <a:miter lim="800000"/>
              </a:ln>
              <a:effectLst/>
            </c:spPr>
            <c:extLst>
              <c:ext xmlns:c16="http://schemas.microsoft.com/office/drawing/2014/chart" uri="{C3380CC4-5D6E-409C-BE32-E72D297353CC}">
                <c16:uniqueId val="{0000003B-2B4E-4315-ACE4-5BD4D6FB4D9F}"/>
              </c:ext>
            </c:extLst>
          </c:dPt>
          <c:dPt>
            <c:idx val="42"/>
            <c:invertIfNegative val="0"/>
            <c:bubble3D val="0"/>
            <c:spPr>
              <a:solidFill>
                <a:schemeClr val="tx1"/>
              </a:solidFill>
              <a:ln w="66675">
                <a:solidFill>
                  <a:srgbClr val="00B0F0"/>
                </a:solidFill>
                <a:miter lim="800000"/>
              </a:ln>
              <a:effectLst/>
            </c:spPr>
            <c:extLst>
              <c:ext xmlns:c16="http://schemas.microsoft.com/office/drawing/2014/chart" uri="{C3380CC4-5D6E-409C-BE32-E72D297353CC}">
                <c16:uniqueId val="{0000003D-2B4E-4315-ACE4-5BD4D6FB4D9F}"/>
              </c:ext>
            </c:extLst>
          </c:dPt>
          <c:dPt>
            <c:idx val="44"/>
            <c:invertIfNegative val="0"/>
            <c:bubble3D val="0"/>
            <c:spPr>
              <a:solidFill>
                <a:schemeClr val="tx1"/>
              </a:solidFill>
              <a:ln w="66675">
                <a:solidFill>
                  <a:schemeClr val="accent6">
                    <a:lumMod val="50000"/>
                  </a:schemeClr>
                </a:solidFill>
                <a:miter lim="800000"/>
              </a:ln>
              <a:effectLst/>
            </c:spPr>
            <c:extLst>
              <c:ext xmlns:c16="http://schemas.microsoft.com/office/drawing/2014/chart" uri="{C3380CC4-5D6E-409C-BE32-E72D297353CC}">
                <c16:uniqueId val="{0000003F-2B4E-4315-ACE4-5BD4D6FB4D9F}"/>
              </c:ext>
            </c:extLst>
          </c:dPt>
          <c:dPt>
            <c:idx val="45"/>
            <c:invertIfNegative val="0"/>
            <c:bubble3D val="0"/>
            <c:spPr>
              <a:solidFill>
                <a:schemeClr val="tx1"/>
              </a:solidFill>
              <a:ln w="66675">
                <a:solidFill>
                  <a:schemeClr val="accent6">
                    <a:lumMod val="50000"/>
                  </a:schemeClr>
                </a:solidFill>
                <a:miter lim="800000"/>
              </a:ln>
              <a:effectLst/>
            </c:spPr>
            <c:extLst>
              <c:ext xmlns:c16="http://schemas.microsoft.com/office/drawing/2014/chart" uri="{C3380CC4-5D6E-409C-BE32-E72D297353CC}">
                <c16:uniqueId val="{00000041-2B4E-4315-ACE4-5BD4D6FB4D9F}"/>
              </c:ext>
            </c:extLst>
          </c:dPt>
          <c:dPt>
            <c:idx val="47"/>
            <c:invertIfNegative val="0"/>
            <c:bubble3D val="0"/>
            <c:spPr>
              <a:solidFill>
                <a:schemeClr val="tx1"/>
              </a:solidFill>
              <a:ln w="66675">
                <a:solidFill>
                  <a:schemeClr val="bg1">
                    <a:lumMod val="65000"/>
                  </a:schemeClr>
                </a:solidFill>
                <a:miter lim="800000"/>
              </a:ln>
              <a:effectLst/>
            </c:spPr>
            <c:extLst>
              <c:ext xmlns:c16="http://schemas.microsoft.com/office/drawing/2014/chart" uri="{C3380CC4-5D6E-409C-BE32-E72D297353CC}">
                <c16:uniqueId val="{00000043-2B4E-4315-ACE4-5BD4D6FB4D9F}"/>
              </c:ext>
            </c:extLst>
          </c:dPt>
          <c:dPt>
            <c:idx val="48"/>
            <c:invertIfNegative val="0"/>
            <c:bubble3D val="0"/>
            <c:spPr>
              <a:solidFill>
                <a:schemeClr val="tx1"/>
              </a:solidFill>
              <a:ln w="66675">
                <a:solidFill>
                  <a:schemeClr val="bg1">
                    <a:lumMod val="65000"/>
                  </a:schemeClr>
                </a:solidFill>
                <a:miter lim="800000"/>
              </a:ln>
              <a:effectLst/>
            </c:spPr>
            <c:extLst>
              <c:ext xmlns:c16="http://schemas.microsoft.com/office/drawing/2014/chart" uri="{C3380CC4-5D6E-409C-BE32-E72D297353CC}">
                <c16:uniqueId val="{00000045-2B4E-4315-ACE4-5BD4D6FB4D9F}"/>
              </c:ext>
            </c:extLst>
          </c:dPt>
          <c:dPt>
            <c:idx val="50"/>
            <c:invertIfNegative val="0"/>
            <c:bubble3D val="0"/>
            <c:spPr>
              <a:solidFill>
                <a:schemeClr val="tx1"/>
              </a:solidFill>
              <a:ln w="66675">
                <a:solidFill>
                  <a:srgbClr val="002060"/>
                </a:solidFill>
                <a:miter lim="800000"/>
              </a:ln>
              <a:effectLst/>
            </c:spPr>
            <c:extLst>
              <c:ext xmlns:c16="http://schemas.microsoft.com/office/drawing/2014/chart" uri="{C3380CC4-5D6E-409C-BE32-E72D297353CC}">
                <c16:uniqueId val="{00000047-2B4E-4315-ACE4-5BD4D6FB4D9F}"/>
              </c:ext>
            </c:extLst>
          </c:dPt>
          <c:dPt>
            <c:idx val="52"/>
            <c:invertIfNegative val="0"/>
            <c:bubble3D val="0"/>
            <c:spPr>
              <a:solidFill>
                <a:schemeClr val="tx1"/>
              </a:solidFill>
              <a:ln w="66675">
                <a:solidFill>
                  <a:srgbClr val="00B050"/>
                </a:solidFill>
                <a:miter lim="800000"/>
              </a:ln>
              <a:effectLst/>
            </c:spPr>
            <c:extLst>
              <c:ext xmlns:c16="http://schemas.microsoft.com/office/drawing/2014/chart" uri="{C3380CC4-5D6E-409C-BE32-E72D297353CC}">
                <c16:uniqueId val="{00000049-2B4E-4315-ACE4-5BD4D6FB4D9F}"/>
              </c:ext>
            </c:extLst>
          </c:dPt>
          <c:dPt>
            <c:idx val="54"/>
            <c:invertIfNegative val="0"/>
            <c:bubble3D val="0"/>
            <c:spPr>
              <a:solidFill>
                <a:schemeClr val="tx1"/>
              </a:solidFill>
              <a:ln w="66675">
                <a:solidFill>
                  <a:srgbClr val="FFFF00"/>
                </a:solidFill>
                <a:miter lim="800000"/>
              </a:ln>
              <a:effectLst/>
            </c:spPr>
            <c:extLst>
              <c:ext xmlns:c16="http://schemas.microsoft.com/office/drawing/2014/chart" uri="{C3380CC4-5D6E-409C-BE32-E72D297353CC}">
                <c16:uniqueId val="{0000004B-2B4E-4315-ACE4-5BD4D6FB4D9F}"/>
              </c:ext>
            </c:extLst>
          </c:dPt>
          <c:cat>
            <c:strRef>
              <c:f>Sheet2!$G$2:$G$56</c:f>
              <c:strCache>
                <c:ptCount val="55"/>
                <c:pt idx="4">
                  <c:v>Canada </c:v>
                </c:pt>
                <c:pt idx="11">
                  <c:v>China</c:v>
                </c:pt>
                <c:pt idx="17">
                  <c:v>Russia</c:v>
                </c:pt>
                <c:pt idx="21">
                  <c:v>Japan </c:v>
                </c:pt>
                <c:pt idx="26">
                  <c:v>Germany </c:v>
                </c:pt>
                <c:pt idx="30">
                  <c:v>Australia</c:v>
                </c:pt>
                <c:pt idx="34">
                  <c:v>Turkey</c:v>
                </c:pt>
                <c:pt idx="38">
                  <c:v>U.A.E</c:v>
                </c:pt>
                <c:pt idx="42">
                  <c:v>Netherlands</c:v>
                </c:pt>
                <c:pt idx="45">
                  <c:v>Brazil </c:v>
                </c:pt>
                <c:pt idx="48">
                  <c:v>Mexico </c:v>
                </c:pt>
                <c:pt idx="50">
                  <c:v>Chile</c:v>
                </c:pt>
                <c:pt idx="52">
                  <c:v>Saudi Arabia</c:v>
                </c:pt>
                <c:pt idx="54">
                  <c:v>Veitnam</c:v>
                </c:pt>
              </c:strCache>
            </c:strRef>
          </c:cat>
          <c:val>
            <c:numRef>
              <c:f>Sheet2!$H$2:$H$56</c:f>
              <c:numCache>
                <c:formatCode>General</c:formatCode>
                <c:ptCount val="55"/>
                <c:pt idx="0">
                  <c:v>30</c:v>
                </c:pt>
                <c:pt idx="1">
                  <c:v>30</c:v>
                </c:pt>
                <c:pt idx="2">
                  <c:v>30</c:v>
                </c:pt>
                <c:pt idx="3">
                  <c:v>30</c:v>
                </c:pt>
                <c:pt idx="4">
                  <c:v>30</c:v>
                </c:pt>
                <c:pt idx="5">
                  <c:v>30</c:v>
                </c:pt>
                <c:pt idx="6">
                  <c:v>30</c:v>
                </c:pt>
                <c:pt idx="7">
                  <c:v>30</c:v>
                </c:pt>
                <c:pt idx="9">
                  <c:v>29</c:v>
                </c:pt>
                <c:pt idx="10">
                  <c:v>29</c:v>
                </c:pt>
                <c:pt idx="11">
                  <c:v>29</c:v>
                </c:pt>
                <c:pt idx="12">
                  <c:v>29</c:v>
                </c:pt>
                <c:pt idx="13">
                  <c:v>29</c:v>
                </c:pt>
                <c:pt idx="14">
                  <c:v>29</c:v>
                </c:pt>
                <c:pt idx="16">
                  <c:v>13</c:v>
                </c:pt>
                <c:pt idx="17">
                  <c:v>13</c:v>
                </c:pt>
                <c:pt idx="18">
                  <c:v>13</c:v>
                </c:pt>
                <c:pt idx="20">
                  <c:v>12</c:v>
                </c:pt>
                <c:pt idx="21">
                  <c:v>12</c:v>
                </c:pt>
                <c:pt idx="22">
                  <c:v>12</c:v>
                </c:pt>
                <c:pt idx="23">
                  <c:v>12</c:v>
                </c:pt>
                <c:pt idx="25">
                  <c:v>12</c:v>
                </c:pt>
                <c:pt idx="26">
                  <c:v>12</c:v>
                </c:pt>
                <c:pt idx="27">
                  <c:v>12</c:v>
                </c:pt>
                <c:pt idx="28">
                  <c:v>12</c:v>
                </c:pt>
                <c:pt idx="30">
                  <c:v>10</c:v>
                </c:pt>
                <c:pt idx="31">
                  <c:v>10</c:v>
                </c:pt>
                <c:pt idx="33">
                  <c:v>10</c:v>
                </c:pt>
                <c:pt idx="34">
                  <c:v>10</c:v>
                </c:pt>
                <c:pt idx="35">
                  <c:v>10</c:v>
                </c:pt>
                <c:pt idx="37">
                  <c:v>9</c:v>
                </c:pt>
                <c:pt idx="38">
                  <c:v>9</c:v>
                </c:pt>
                <c:pt idx="39">
                  <c:v>9</c:v>
                </c:pt>
                <c:pt idx="41">
                  <c:v>7</c:v>
                </c:pt>
                <c:pt idx="42">
                  <c:v>7</c:v>
                </c:pt>
                <c:pt idx="44">
                  <c:v>7</c:v>
                </c:pt>
                <c:pt idx="45">
                  <c:v>7</c:v>
                </c:pt>
                <c:pt idx="47">
                  <c:v>6</c:v>
                </c:pt>
                <c:pt idx="48">
                  <c:v>6</c:v>
                </c:pt>
                <c:pt idx="50">
                  <c:v>6</c:v>
                </c:pt>
                <c:pt idx="52">
                  <c:v>6</c:v>
                </c:pt>
                <c:pt idx="54">
                  <c:v>6</c:v>
                </c:pt>
              </c:numCache>
            </c:numRef>
          </c:val>
          <c:extLst>
            <c:ext xmlns:c16="http://schemas.microsoft.com/office/drawing/2014/chart" uri="{C3380CC4-5D6E-409C-BE32-E72D297353CC}">
              <c16:uniqueId val="{0000004C-2B4E-4315-ACE4-5BD4D6FB4D9F}"/>
            </c:ext>
          </c:extLst>
        </c:ser>
        <c:dLbls>
          <c:showLegendKey val="0"/>
          <c:showVal val="0"/>
          <c:showCatName val="0"/>
          <c:showSerName val="0"/>
          <c:showPercent val="0"/>
          <c:showBubbleSize val="0"/>
        </c:dLbls>
        <c:gapWidth val="163"/>
        <c:overlap val="14"/>
        <c:axId val="496182080"/>
        <c:axId val="496184704"/>
      </c:barChart>
      <c:catAx>
        <c:axId val="4961820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Infrastructure Export</a:t>
                </a:r>
                <a:r>
                  <a:rPr lang="en-US" baseline="0"/>
                  <a:t> Diversity</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184704"/>
        <c:crosses val="autoZero"/>
        <c:auto val="1"/>
        <c:lblAlgn val="ctr"/>
        <c:lblOffset val="100"/>
        <c:noMultiLvlLbl val="0"/>
      </c:catAx>
      <c:valAx>
        <c:axId val="4961847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Infrastructur Export Impact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182080"/>
        <c:crosses val="autoZero"/>
        <c:crossBetween val="between"/>
      </c:valAx>
      <c:spPr>
        <a:noFill/>
        <a:ln w="15875">
          <a:solidFill>
            <a:schemeClr val="accent1"/>
          </a:solidFill>
          <a:round/>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Top</a:t>
            </a:r>
            <a:r>
              <a:rPr lang="en-US" baseline="0"/>
              <a:t> Exporters to the U.S.</a:t>
            </a:r>
          </a:p>
          <a:p>
            <a:pPr>
              <a:defRPr/>
            </a:pPr>
            <a:r>
              <a:rPr lang="en-US" baseline="0"/>
              <a:t>2020</a:t>
            </a:r>
            <a:endParaRPr lang="en-US"/>
          </a:p>
        </c:rich>
      </c:tx>
      <c:layout>
        <c:manualLayout>
          <c:xMode val="edge"/>
          <c:yMode val="edge"/>
          <c:x val="0.683862209810983"/>
          <c:y val="5.235602094240837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9.1411320677938515E-2"/>
          <c:y val="0"/>
          <c:w val="0.63888888888888884"/>
          <c:h val="1"/>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CAA-43DA-96A3-4D4540948D0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CAA-43DA-96A3-4D4540948D0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CAA-43DA-96A3-4D4540948D0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CAA-43DA-96A3-4D4540948D0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CAA-43DA-96A3-4D4540948D08}"/>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3CAA-43DA-96A3-4D4540948D08}"/>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3CAA-43DA-96A3-4D4540948D08}"/>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3CAA-43DA-96A3-4D4540948D08}"/>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3CAA-43DA-96A3-4D4540948D08}"/>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3CAA-43DA-96A3-4D4540948D08}"/>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3CAA-43DA-96A3-4D4540948D08}"/>
              </c:ext>
            </c:extLst>
          </c:dPt>
          <c:dLbls>
            <c:dLbl>
              <c:idx val="3"/>
              <c:layout>
                <c:manualLayout>
                  <c:x val="2.0788859725867598E-2"/>
                  <c:y val="-1.369374355362129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3CAA-43DA-96A3-4D4540948D08}"/>
                </c:ext>
              </c:extLst>
            </c:dLbl>
            <c:dLbl>
              <c:idx val="4"/>
              <c:layout>
                <c:manualLayout>
                  <c:x val="2.2165645960921552E-2"/>
                  <c:y val="-1.712912882694774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3CAA-43DA-96A3-4D4540948D08}"/>
                </c:ext>
              </c:extLst>
            </c:dLbl>
            <c:dLbl>
              <c:idx val="5"/>
              <c:layout>
                <c:manualLayout>
                  <c:x val="5.0592692228250739E-2"/>
                  <c:y val="-7.570679285950193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3CAA-43DA-96A3-4D4540948D08}"/>
                </c:ext>
              </c:extLst>
            </c:dLbl>
            <c:dLbl>
              <c:idx val="6"/>
              <c:layout>
                <c:manualLayout>
                  <c:x val="6.4815543890346869E-3"/>
                  <c:y val="-2.6620735765392465E-3"/>
                </c:manualLayout>
              </c:layout>
              <c:tx>
                <c:rich>
                  <a:bodyPr/>
                  <a:lstStyle/>
                  <a:p>
                    <a:fld id="{75E01687-E7EF-4860-9D21-225B400039B5}" type="CATEGORYNAME">
                      <a:rPr lang="en-US"/>
                      <a:pPr/>
                      <a:t>[CATEGORY NAME]</a:t>
                    </a:fld>
                    <a:r>
                      <a:rPr lang="en-US"/>
                      <a:t> </a:t>
                    </a:r>
                    <a:fld id="{984C4595-13E3-4515-880C-DFA0F6C449C7}" type="PERCENTAGE">
                      <a:rPr lang="en-US" baseline="0"/>
                      <a:pPr/>
                      <a:t>[PERCENTAGE]</a:t>
                    </a:fld>
                    <a:endParaRPr 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18562131816856223"/>
                      <c:h val="7.4165764130784767E-2"/>
                    </c:manualLayout>
                  </c15:layout>
                  <c15:dlblFieldTable/>
                  <c15:showDataLabelsRange val="0"/>
                </c:ext>
                <c:ext xmlns:c16="http://schemas.microsoft.com/office/drawing/2014/chart" uri="{C3380CC4-5D6E-409C-BE32-E72D297353CC}">
                  <c16:uniqueId val="{0000000D-3CAA-43DA-96A3-4D4540948D08}"/>
                </c:ext>
              </c:extLst>
            </c:dLbl>
            <c:dLbl>
              <c:idx val="7"/>
              <c:layout>
                <c:manualLayout>
                  <c:x val="-2.095479731700204E-2"/>
                  <c:y val="-4.531730234464197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3CAA-43DA-96A3-4D4540948D08}"/>
                </c:ext>
              </c:extLst>
            </c:dLbl>
            <c:dLbl>
              <c:idx val="8"/>
              <c:layout>
                <c:manualLayout>
                  <c:x val="-4.3143336249635462E-2"/>
                  <c:y val="-3.112575784256999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3CAA-43DA-96A3-4D4540948D08}"/>
                </c:ext>
              </c:extLst>
            </c:dLbl>
            <c:dLbl>
              <c:idx val="9"/>
              <c:layout>
                <c:manualLayout>
                  <c:x val="-3.1132837561971421E-2"/>
                  <c:y val="-6.304243918391989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3CAA-43DA-96A3-4D4540948D08}"/>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Sheet3!$J$2:$J$12</c:f>
              <c:strCache>
                <c:ptCount val="11"/>
                <c:pt idx="0">
                  <c:v>China</c:v>
                </c:pt>
                <c:pt idx="1">
                  <c:v>Mexico</c:v>
                </c:pt>
                <c:pt idx="2">
                  <c:v>Canada</c:v>
                </c:pt>
                <c:pt idx="3">
                  <c:v>Japan</c:v>
                </c:pt>
                <c:pt idx="4">
                  <c:v>Germany</c:v>
                </c:pt>
                <c:pt idx="5">
                  <c:v>Vietnam</c:v>
                </c:pt>
                <c:pt idx="6">
                  <c:v>South Korea</c:v>
                </c:pt>
                <c:pt idx="7">
                  <c:v>Ireland</c:v>
                </c:pt>
                <c:pt idx="8">
                  <c:v>Taiwan</c:v>
                </c:pt>
                <c:pt idx="9">
                  <c:v>India</c:v>
                </c:pt>
                <c:pt idx="10">
                  <c:v>All Others </c:v>
                </c:pt>
              </c:strCache>
            </c:strRef>
          </c:cat>
          <c:val>
            <c:numRef>
              <c:f>Sheet3!$K$2:$K$12</c:f>
              <c:numCache>
                <c:formatCode>General</c:formatCode>
                <c:ptCount val="11"/>
                <c:pt idx="0">
                  <c:v>17.3</c:v>
                </c:pt>
                <c:pt idx="1">
                  <c:v>14</c:v>
                </c:pt>
                <c:pt idx="2">
                  <c:v>12.4</c:v>
                </c:pt>
                <c:pt idx="3">
                  <c:v>5.0999999999999996</c:v>
                </c:pt>
                <c:pt idx="4">
                  <c:v>4.9000000000000004</c:v>
                </c:pt>
                <c:pt idx="5">
                  <c:v>3.6</c:v>
                </c:pt>
                <c:pt idx="6">
                  <c:v>3.4</c:v>
                </c:pt>
                <c:pt idx="7">
                  <c:v>2.6</c:v>
                </c:pt>
                <c:pt idx="8">
                  <c:v>2.6</c:v>
                </c:pt>
                <c:pt idx="9">
                  <c:v>2.5</c:v>
                </c:pt>
                <c:pt idx="10">
                  <c:v>31.6</c:v>
                </c:pt>
              </c:numCache>
            </c:numRef>
          </c:val>
          <c:extLst>
            <c:ext xmlns:c16="http://schemas.microsoft.com/office/drawing/2014/chart" uri="{C3380CC4-5D6E-409C-BE32-E72D297353CC}">
              <c16:uniqueId val="{00000016-3CAA-43DA-96A3-4D4540948D08}"/>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885</Words>
  <Characters>5047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3</cp:revision>
  <dcterms:created xsi:type="dcterms:W3CDTF">2021-07-26T20:09:00Z</dcterms:created>
  <dcterms:modified xsi:type="dcterms:W3CDTF">2021-07-26T20:10:00Z</dcterms:modified>
</cp:coreProperties>
</file>