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26C68" w14:textId="01D65D91" w:rsidR="00172203" w:rsidRDefault="00E42B21" w:rsidP="00172203">
      <w:pPr>
        <w:jc w:val="center"/>
        <w:rPr>
          <w:rFonts w:ascii="Times New Roman" w:hAnsi="Times New Roman" w:cs="Times New Roman"/>
          <w:sz w:val="40"/>
          <w:szCs w:val="40"/>
        </w:rPr>
      </w:pPr>
      <w:r>
        <w:rPr>
          <w:rFonts w:ascii="Times New Roman" w:hAnsi="Times New Roman" w:cs="Times New Roman"/>
          <w:sz w:val="40"/>
          <w:szCs w:val="40"/>
        </w:rPr>
        <w:t>Mexico without an</w:t>
      </w:r>
      <w:r w:rsidR="00172203">
        <w:rPr>
          <w:rFonts w:ascii="Times New Roman" w:hAnsi="Times New Roman" w:cs="Times New Roman"/>
          <w:sz w:val="40"/>
          <w:szCs w:val="40"/>
        </w:rPr>
        <w:t xml:space="preserve"> Automo</w:t>
      </w:r>
      <w:r>
        <w:rPr>
          <w:rFonts w:ascii="Times New Roman" w:hAnsi="Times New Roman" w:cs="Times New Roman"/>
          <w:sz w:val="40"/>
          <w:szCs w:val="40"/>
        </w:rPr>
        <w:t>tive</w:t>
      </w:r>
      <w:r w:rsidR="00172203">
        <w:rPr>
          <w:rFonts w:ascii="Times New Roman" w:hAnsi="Times New Roman" w:cs="Times New Roman"/>
          <w:sz w:val="40"/>
          <w:szCs w:val="40"/>
        </w:rPr>
        <w:t xml:space="preserve"> Industry</w:t>
      </w:r>
    </w:p>
    <w:p w14:paraId="46A5AB3F" w14:textId="49816956" w:rsidR="00172203" w:rsidRDefault="00172203" w:rsidP="00172203">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4" w:history="1">
        <w:r>
          <w:rPr>
            <w:rStyle w:val="Hyperlink"/>
            <w:b/>
            <w:bCs/>
          </w:rPr>
          <w:t>https://globalaffairswithgregayres.com/</w:t>
        </w:r>
      </w:hyperlink>
      <w:r>
        <w:rPr>
          <w:b/>
          <w:bCs/>
        </w:rPr>
        <w:tab/>
      </w:r>
      <w:r>
        <w:rPr>
          <w:b/>
          <w:bCs/>
        </w:rPr>
        <w:tab/>
        <w:t>8/</w:t>
      </w:r>
      <w:r>
        <w:rPr>
          <w:b/>
          <w:bCs/>
        </w:rPr>
        <w:t>12</w:t>
      </w:r>
      <w:r>
        <w:rPr>
          <w:b/>
          <w:bCs/>
        </w:rPr>
        <w:t>/2021</w:t>
      </w:r>
    </w:p>
    <w:p w14:paraId="35905BCA" w14:textId="7E647A39" w:rsidR="00172203" w:rsidRDefault="00172203">
      <w:pPr>
        <w:rPr>
          <w:rFonts w:ascii="Times New Roman" w:hAnsi="Times New Roman" w:cs="Times New Roman"/>
          <w:sz w:val="24"/>
          <w:szCs w:val="24"/>
        </w:rPr>
      </w:pPr>
    </w:p>
    <w:p w14:paraId="6FB1D484" w14:textId="10A26BB5" w:rsidR="00172203" w:rsidRDefault="00172203">
      <w:pPr>
        <w:rPr>
          <w:rFonts w:ascii="Times New Roman" w:hAnsi="Times New Roman" w:cs="Times New Roman"/>
          <w:sz w:val="24"/>
          <w:szCs w:val="24"/>
        </w:rPr>
      </w:pPr>
      <w:r>
        <w:rPr>
          <w:rFonts w:ascii="Times New Roman" w:hAnsi="Times New Roman" w:cs="Times New Roman"/>
          <w:sz w:val="24"/>
          <w:szCs w:val="24"/>
        </w:rPr>
        <w:tab/>
      </w:r>
      <w:r w:rsidR="00E42B21">
        <w:rPr>
          <w:rFonts w:ascii="Times New Roman" w:hAnsi="Times New Roman" w:cs="Times New Roman"/>
          <w:sz w:val="24"/>
          <w:szCs w:val="24"/>
        </w:rPr>
        <w:t xml:space="preserve">South America’s leading economies have never thrived at advanced manufacturing or skilled labor. </w:t>
      </w:r>
      <w:r>
        <w:rPr>
          <w:rFonts w:ascii="Times New Roman" w:hAnsi="Times New Roman" w:cs="Times New Roman"/>
          <w:sz w:val="24"/>
          <w:szCs w:val="24"/>
        </w:rPr>
        <w:t>Each of South America’s 5 largest economies are net importers</w:t>
      </w:r>
      <w:r w:rsidR="00C86DEC">
        <w:rPr>
          <w:rFonts w:ascii="Times New Roman" w:hAnsi="Times New Roman" w:cs="Times New Roman"/>
          <w:sz w:val="24"/>
          <w:szCs w:val="24"/>
        </w:rPr>
        <w:t xml:space="preserve"> of automotive products</w:t>
      </w:r>
      <w:r>
        <w:rPr>
          <w:rFonts w:ascii="Times New Roman" w:hAnsi="Times New Roman" w:cs="Times New Roman"/>
          <w:sz w:val="24"/>
          <w:szCs w:val="24"/>
        </w:rPr>
        <w:t xml:space="preserve">, and only Brazil has achieved net-exporter status by any significant margin in the last quarter century. </w:t>
      </w:r>
      <w:r w:rsidR="002D4EE3">
        <w:rPr>
          <w:rFonts w:ascii="Times New Roman" w:hAnsi="Times New Roman" w:cs="Times New Roman"/>
          <w:sz w:val="24"/>
          <w:szCs w:val="24"/>
        </w:rPr>
        <w:t xml:space="preserve">Mexico, stands out amongst Latin American economies, its position in NAFTA and USMCA, and proximity to the United States have enabled advanced manufacturing the thrive in recent decades. </w:t>
      </w:r>
    </w:p>
    <w:p w14:paraId="3F139F3F" w14:textId="2F14500A" w:rsidR="00172203" w:rsidRDefault="00172203" w:rsidP="00172203">
      <w:pPr>
        <w:rPr>
          <w:noProof/>
        </w:rPr>
      </w:pPr>
      <w:r>
        <w:rPr>
          <w:noProof/>
        </w:rPr>
        <w:drawing>
          <wp:inline distT="0" distB="0" distL="0" distR="0" wp14:anchorId="2910AB27" wp14:editId="47B2C2F2">
            <wp:extent cx="6858000" cy="2976880"/>
            <wp:effectExtent l="0" t="0" r="0" b="13970"/>
            <wp:docPr id="1" name="Chart 1">
              <a:extLst xmlns:a="http://schemas.openxmlformats.org/drawingml/2006/main">
                <a:ext uri="{FF2B5EF4-FFF2-40B4-BE49-F238E27FC236}">
                  <a16:creationId xmlns:a16="http://schemas.microsoft.com/office/drawing/2014/main" id="{AB379423-29C4-4682-AC7E-52B063FD05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8B66CD6" w14:textId="77777777" w:rsidR="002D4EE3" w:rsidRDefault="00172203" w:rsidP="00172203">
      <w:pPr>
        <w:ind w:firstLine="720"/>
        <w:rPr>
          <w:rFonts w:ascii="Times New Roman" w:hAnsi="Times New Roman" w:cs="Times New Roman"/>
          <w:sz w:val="24"/>
          <w:szCs w:val="24"/>
        </w:rPr>
      </w:pPr>
      <w:r>
        <w:rPr>
          <w:rFonts w:ascii="Times New Roman" w:hAnsi="Times New Roman" w:cs="Times New Roman"/>
          <w:sz w:val="24"/>
          <w:szCs w:val="24"/>
        </w:rPr>
        <w:t xml:space="preserve">The economies are South America are heavily tied to </w:t>
      </w:r>
      <w:r w:rsidR="00C1007C">
        <w:rPr>
          <w:rFonts w:ascii="Times New Roman" w:hAnsi="Times New Roman" w:cs="Times New Roman"/>
          <w:sz w:val="24"/>
          <w:szCs w:val="24"/>
        </w:rPr>
        <w:t xml:space="preserve">raw commodity prices, and many lack the political and financial stability for the large-scale foreign investment required for automotive manufacturing. </w:t>
      </w:r>
      <w:r w:rsidR="00C86DEC">
        <w:rPr>
          <w:rFonts w:ascii="Times New Roman" w:hAnsi="Times New Roman" w:cs="Times New Roman"/>
          <w:sz w:val="24"/>
          <w:szCs w:val="24"/>
        </w:rPr>
        <w:t xml:space="preserve">Even </w:t>
      </w:r>
      <w:r w:rsidR="00C1007C">
        <w:rPr>
          <w:rFonts w:ascii="Times New Roman" w:hAnsi="Times New Roman" w:cs="Times New Roman"/>
          <w:sz w:val="24"/>
          <w:szCs w:val="24"/>
        </w:rPr>
        <w:t>Chile, the most politically and economically stable nation, of South America’s major economies, has historically been the largest importer of automobiles.</w:t>
      </w:r>
      <w:r w:rsidR="002D4EE3">
        <w:rPr>
          <w:rFonts w:ascii="Times New Roman" w:hAnsi="Times New Roman" w:cs="Times New Roman"/>
          <w:sz w:val="24"/>
          <w:szCs w:val="24"/>
        </w:rPr>
        <w:t xml:space="preserve"> Chile’s progress demonstrates that economic success does not necessitate a shift to advanced manufacturing exports.</w:t>
      </w:r>
      <w:r w:rsidR="00C1007C">
        <w:rPr>
          <w:rFonts w:ascii="Times New Roman" w:hAnsi="Times New Roman" w:cs="Times New Roman"/>
          <w:sz w:val="24"/>
          <w:szCs w:val="24"/>
        </w:rPr>
        <w:t xml:space="preserve"> </w:t>
      </w:r>
    </w:p>
    <w:p w14:paraId="00494EBF" w14:textId="13AA6291" w:rsidR="006B19D1" w:rsidRDefault="006B19D1" w:rsidP="002D4EE3">
      <w:pPr>
        <w:ind w:firstLine="720"/>
        <w:rPr>
          <w:rFonts w:ascii="Times New Roman" w:hAnsi="Times New Roman" w:cs="Times New Roman"/>
          <w:sz w:val="24"/>
          <w:szCs w:val="24"/>
        </w:rPr>
      </w:pPr>
      <w:r>
        <w:rPr>
          <w:rFonts w:ascii="Times New Roman" w:hAnsi="Times New Roman" w:cs="Times New Roman"/>
          <w:sz w:val="24"/>
          <w:szCs w:val="24"/>
        </w:rPr>
        <w:t>South America</w:t>
      </w:r>
      <w:r w:rsidR="00C86DEC">
        <w:rPr>
          <w:rFonts w:ascii="Times New Roman" w:hAnsi="Times New Roman" w:cs="Times New Roman"/>
          <w:sz w:val="24"/>
          <w:szCs w:val="24"/>
        </w:rPr>
        <w:t>’s</w:t>
      </w:r>
      <w:r>
        <w:rPr>
          <w:rFonts w:ascii="Times New Roman" w:hAnsi="Times New Roman" w:cs="Times New Roman"/>
          <w:sz w:val="24"/>
          <w:szCs w:val="24"/>
        </w:rPr>
        <w:t xml:space="preserve"> demographics are supporting robust consumption growth, with the largest population cohorts between 20 and 40 years old. </w:t>
      </w:r>
      <w:r w:rsidR="00C86DEC">
        <w:rPr>
          <w:rFonts w:ascii="Times New Roman" w:hAnsi="Times New Roman" w:cs="Times New Roman"/>
          <w:sz w:val="24"/>
          <w:szCs w:val="24"/>
        </w:rPr>
        <w:t xml:space="preserve">Despite the </w:t>
      </w:r>
      <w:r w:rsidR="002D4EE3">
        <w:rPr>
          <w:rFonts w:ascii="Times New Roman" w:hAnsi="Times New Roman" w:cs="Times New Roman"/>
          <w:sz w:val="24"/>
          <w:szCs w:val="24"/>
        </w:rPr>
        <w:t xml:space="preserve">recent </w:t>
      </w:r>
      <w:r w:rsidR="00C86DEC">
        <w:rPr>
          <w:rFonts w:ascii="Times New Roman" w:hAnsi="Times New Roman" w:cs="Times New Roman"/>
          <w:sz w:val="24"/>
          <w:szCs w:val="24"/>
        </w:rPr>
        <w:t>USMCA agreement, the United States continues efforts to shorten supply chains and repatriate manufacturing jobs and capacity</w:t>
      </w:r>
      <w:r w:rsidR="002D4EE3">
        <w:rPr>
          <w:rFonts w:ascii="Times New Roman" w:hAnsi="Times New Roman" w:cs="Times New Roman"/>
          <w:sz w:val="24"/>
          <w:szCs w:val="24"/>
        </w:rPr>
        <w:t>, a terrifying prospect for Mexico.</w:t>
      </w:r>
      <w:r>
        <w:rPr>
          <w:noProof/>
        </w:rPr>
        <w:drawing>
          <wp:inline distT="0" distB="0" distL="0" distR="0" wp14:anchorId="4FA3069E" wp14:editId="1BF185CD">
            <wp:extent cx="6101080" cy="2341880"/>
            <wp:effectExtent l="0" t="0" r="13970" b="1270"/>
            <wp:docPr id="3" name="Chart 3">
              <a:extLst xmlns:a="http://schemas.openxmlformats.org/drawingml/2006/main">
                <a:ext uri="{FF2B5EF4-FFF2-40B4-BE49-F238E27FC236}">
                  <a16:creationId xmlns:a16="http://schemas.microsoft.com/office/drawing/2014/main" id="{6CA7A0C2-B01C-4171-BE78-4B1C58824B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1C5CFCC" w14:textId="63B4E276" w:rsidR="00C1007C" w:rsidRDefault="0051698D" w:rsidP="00172203">
      <w:pPr>
        <w:ind w:firstLine="720"/>
        <w:rPr>
          <w:rFonts w:ascii="Times New Roman" w:hAnsi="Times New Roman" w:cs="Times New Roman"/>
          <w:sz w:val="24"/>
          <w:szCs w:val="24"/>
        </w:rPr>
      </w:pPr>
      <w:r>
        <w:rPr>
          <w:rFonts w:ascii="Times New Roman" w:hAnsi="Times New Roman" w:cs="Times New Roman"/>
          <w:sz w:val="24"/>
          <w:szCs w:val="24"/>
        </w:rPr>
        <w:lastRenderedPageBreak/>
        <w:t>In Latin America, only Mexico is a net exporter of automobiles and automotive parts, largely due to their shared border with the United States and participation in NAFTA. Following the 1992 agreement, which took place in 1994, manufactures expanded into Mexico,</w:t>
      </w:r>
      <w:r w:rsidR="00C86DEC">
        <w:rPr>
          <w:rFonts w:ascii="Times New Roman" w:hAnsi="Times New Roman" w:cs="Times New Roman"/>
          <w:sz w:val="24"/>
          <w:szCs w:val="24"/>
        </w:rPr>
        <w:t xml:space="preserve"> seeking</w:t>
      </w:r>
      <w:r>
        <w:rPr>
          <w:rFonts w:ascii="Times New Roman" w:hAnsi="Times New Roman" w:cs="Times New Roman"/>
          <w:sz w:val="24"/>
          <w:szCs w:val="24"/>
        </w:rPr>
        <w:t xml:space="preserve"> lower wages and reduced regulations. </w:t>
      </w:r>
    </w:p>
    <w:p w14:paraId="0398C12E" w14:textId="4549151D" w:rsidR="0051698D" w:rsidRDefault="0051698D" w:rsidP="00172203">
      <w:pPr>
        <w:ind w:firstLine="720"/>
        <w:rPr>
          <w:rFonts w:ascii="Times New Roman" w:hAnsi="Times New Roman" w:cs="Times New Roman"/>
          <w:sz w:val="24"/>
          <w:szCs w:val="24"/>
        </w:rPr>
      </w:pPr>
      <w:r>
        <w:rPr>
          <w:noProof/>
        </w:rPr>
        <w:drawing>
          <wp:inline distT="0" distB="0" distL="0" distR="0" wp14:anchorId="1FBBDCF8" wp14:editId="0518CAFF">
            <wp:extent cx="5974080" cy="2884170"/>
            <wp:effectExtent l="0" t="0" r="7620" b="11430"/>
            <wp:docPr id="4" name="Chart 4">
              <a:extLst xmlns:a="http://schemas.openxmlformats.org/drawingml/2006/main">
                <a:ext uri="{FF2B5EF4-FFF2-40B4-BE49-F238E27FC236}">
                  <a16:creationId xmlns:a16="http://schemas.microsoft.com/office/drawing/2014/main" id="{FE808BE7-4852-4731-8F73-3E5BDABECE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875A8D5" w14:textId="16185E51" w:rsidR="007D49AB" w:rsidRDefault="0051698D" w:rsidP="00E42B21">
      <w:pPr>
        <w:ind w:firstLine="720"/>
        <w:rPr>
          <w:rFonts w:ascii="Times New Roman" w:hAnsi="Times New Roman" w:cs="Times New Roman"/>
          <w:sz w:val="24"/>
          <w:szCs w:val="24"/>
        </w:rPr>
      </w:pPr>
      <w:r>
        <w:rPr>
          <w:rFonts w:ascii="Times New Roman" w:hAnsi="Times New Roman" w:cs="Times New Roman"/>
          <w:sz w:val="24"/>
          <w:szCs w:val="24"/>
        </w:rPr>
        <w:t>Following the implementation of NAFTA, Mexico has been a net exporter of within the industry, and experienced a 1000% increase in their</w:t>
      </w:r>
      <w:r w:rsidR="002D4EE3">
        <w:rPr>
          <w:rFonts w:ascii="Times New Roman" w:hAnsi="Times New Roman" w:cs="Times New Roman"/>
          <w:sz w:val="24"/>
          <w:szCs w:val="24"/>
        </w:rPr>
        <w:t xml:space="preserve"> automotive</w:t>
      </w:r>
      <w:r>
        <w:rPr>
          <w:rFonts w:ascii="Times New Roman" w:hAnsi="Times New Roman" w:cs="Times New Roman"/>
          <w:sz w:val="24"/>
          <w:szCs w:val="24"/>
        </w:rPr>
        <w:t xml:space="preserve"> trade balance. This is all while having a similar per capita GDP, to other relatively prosperous nations in Latin America. </w:t>
      </w:r>
      <w:r w:rsidR="00E73E49">
        <w:rPr>
          <w:rFonts w:ascii="Times New Roman" w:hAnsi="Times New Roman" w:cs="Times New Roman"/>
          <w:sz w:val="24"/>
          <w:szCs w:val="24"/>
        </w:rPr>
        <w:t>Large scale participation in advanced industries such as automotive manufacturing has not delivered economic success beyond Mexico’s peers in Latin America. Developing skilled manufacturing industries has long been seen as an efficient route to national economic advancement. However, Mexico</w:t>
      </w:r>
      <w:r w:rsidR="002D4EE3">
        <w:rPr>
          <w:rFonts w:ascii="Times New Roman" w:hAnsi="Times New Roman" w:cs="Times New Roman"/>
          <w:sz w:val="24"/>
          <w:szCs w:val="24"/>
        </w:rPr>
        <w:t xml:space="preserve"> has not experienced outsized</w:t>
      </w:r>
      <w:r w:rsidR="00E73E49">
        <w:rPr>
          <w:rFonts w:ascii="Times New Roman" w:hAnsi="Times New Roman" w:cs="Times New Roman"/>
          <w:sz w:val="24"/>
          <w:szCs w:val="24"/>
        </w:rPr>
        <w:t xml:space="preserve"> per capita economic growth, despite being a major exporter of advanced manufacturing goods. This mediocre performance challenges existing dogma</w:t>
      </w:r>
      <w:r w:rsidR="007D49AB">
        <w:rPr>
          <w:rFonts w:ascii="Times New Roman" w:hAnsi="Times New Roman" w:cs="Times New Roman"/>
          <w:sz w:val="24"/>
          <w:szCs w:val="24"/>
        </w:rPr>
        <w:t xml:space="preserve">, advanced manufacturing can no longer be seen as the primary driver of economic growth. Other industries, such as mining, agriculture, and services, have allowed South America’s leading economies to remain astride Mexico. </w:t>
      </w:r>
    </w:p>
    <w:p w14:paraId="326985F1" w14:textId="4B47643A" w:rsidR="00E42B21" w:rsidRDefault="007D49AB" w:rsidP="002D4EE3">
      <w:pPr>
        <w:rPr>
          <w:rFonts w:ascii="Times New Roman" w:hAnsi="Times New Roman" w:cs="Times New Roman"/>
          <w:sz w:val="24"/>
          <w:szCs w:val="24"/>
        </w:rPr>
      </w:pPr>
      <w:r>
        <w:rPr>
          <w:noProof/>
        </w:rPr>
        <w:drawing>
          <wp:inline distT="0" distB="0" distL="0" distR="0" wp14:anchorId="280AEFED" wp14:editId="1E1FF6AF">
            <wp:extent cx="6807200" cy="3418840"/>
            <wp:effectExtent l="0" t="0" r="12700" b="10160"/>
            <wp:docPr id="5" name="Chart 5">
              <a:extLst xmlns:a="http://schemas.openxmlformats.org/drawingml/2006/main">
                <a:ext uri="{FF2B5EF4-FFF2-40B4-BE49-F238E27FC236}">
                  <a16:creationId xmlns:a16="http://schemas.microsoft.com/office/drawing/2014/main" id="{DDEAA400-8907-4200-B5F2-F9E7D5BE42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EC5C381" w14:textId="0F694512" w:rsidR="00E42B21" w:rsidRDefault="00E42B21" w:rsidP="00E42B21">
      <w:pPr>
        <w:ind w:firstLine="720"/>
        <w:rPr>
          <w:rFonts w:ascii="Times New Roman" w:hAnsi="Times New Roman" w:cs="Times New Roman"/>
          <w:sz w:val="24"/>
          <w:szCs w:val="24"/>
        </w:rPr>
      </w:pPr>
      <w:r>
        <w:rPr>
          <w:rFonts w:ascii="Times New Roman" w:hAnsi="Times New Roman" w:cs="Times New Roman"/>
          <w:sz w:val="24"/>
          <w:szCs w:val="24"/>
        </w:rPr>
        <w:lastRenderedPageBreak/>
        <w:t>This provides hope amidst troubling times for Mexico. Just as the Trump administration before, the Biden administration is pushing for a higher % of automotive components to be manufactured within the United States.</w:t>
      </w:r>
      <w:r>
        <w:rPr>
          <w:rFonts w:ascii="Times New Roman" w:hAnsi="Times New Roman" w:cs="Times New Roman"/>
          <w:sz w:val="24"/>
          <w:szCs w:val="24"/>
        </w:rPr>
        <w:t xml:space="preserve"> While grappling with elevated unemployment throughout the Covid-19 pandemic, both administrations have worked proactively to boost domestic manufacturing and employment. Increasing the required % of components which must be manufactured within the United States will inevitably reduce automotive manufacturing in Mexico. Mexico’s comparative advantage is being rebutted in an effort to increase U.S. employment, amongst Biden’s “Buy Back American” initiatives. </w:t>
      </w:r>
    </w:p>
    <w:p w14:paraId="548B870C" w14:textId="0987FB86" w:rsidR="00E42B21" w:rsidRDefault="00E42B21" w:rsidP="00E42B21">
      <w:pPr>
        <w:ind w:firstLine="720"/>
        <w:rPr>
          <w:rFonts w:ascii="Times New Roman" w:hAnsi="Times New Roman" w:cs="Times New Roman"/>
          <w:sz w:val="24"/>
          <w:szCs w:val="24"/>
        </w:rPr>
      </w:pPr>
      <w:r>
        <w:rPr>
          <w:rFonts w:ascii="Times New Roman" w:hAnsi="Times New Roman" w:cs="Times New Roman"/>
          <w:sz w:val="24"/>
          <w:szCs w:val="24"/>
        </w:rPr>
        <w:t xml:space="preserve">While the prospect of severely reduced exports from automotive manufacturing represents a distinct threat to the Mexican economy. Argentina and Chile represent relative success stories, nations with superior per capita incomes, which have thrived without a sharing a border with the world’s largest consumer market. Brazil, Colombia, and Peru have each experienced strong growth trajectories without such a distinct geographic and diplomatic advantage. If Mexico were </w:t>
      </w:r>
      <w:r w:rsidR="00F54D8D">
        <w:rPr>
          <w:rFonts w:ascii="Times New Roman" w:hAnsi="Times New Roman" w:cs="Times New Roman"/>
          <w:sz w:val="24"/>
          <w:szCs w:val="24"/>
        </w:rPr>
        <w:t xml:space="preserve">to suffer loses to this </w:t>
      </w:r>
      <w:r>
        <w:rPr>
          <w:rFonts w:ascii="Times New Roman" w:hAnsi="Times New Roman" w:cs="Times New Roman"/>
          <w:sz w:val="24"/>
          <w:szCs w:val="24"/>
        </w:rPr>
        <w:t xml:space="preserve">vitally important sector, or others, in the face of American repatriation of manufacturing, they represent </w:t>
      </w:r>
      <w:r w:rsidR="002D4EE3">
        <w:rPr>
          <w:rFonts w:ascii="Times New Roman" w:hAnsi="Times New Roman" w:cs="Times New Roman"/>
          <w:sz w:val="24"/>
          <w:szCs w:val="24"/>
        </w:rPr>
        <w:t xml:space="preserve">examples of </w:t>
      </w:r>
      <w:r>
        <w:rPr>
          <w:rFonts w:ascii="Times New Roman" w:hAnsi="Times New Roman" w:cs="Times New Roman"/>
          <w:sz w:val="24"/>
          <w:szCs w:val="24"/>
        </w:rPr>
        <w:t xml:space="preserve">hope for continued growth. </w:t>
      </w:r>
    </w:p>
    <w:p w14:paraId="600EDB2C" w14:textId="624AEF8F" w:rsidR="006F4524" w:rsidRDefault="006F4524" w:rsidP="00E42B21">
      <w:pPr>
        <w:ind w:firstLine="720"/>
        <w:rPr>
          <w:rFonts w:ascii="Times New Roman" w:hAnsi="Times New Roman" w:cs="Times New Roman"/>
          <w:sz w:val="24"/>
          <w:szCs w:val="24"/>
        </w:rPr>
      </w:pPr>
      <w:r>
        <w:rPr>
          <w:rFonts w:ascii="Times New Roman" w:hAnsi="Times New Roman" w:cs="Times New Roman"/>
          <w:sz w:val="24"/>
          <w:szCs w:val="24"/>
        </w:rPr>
        <w:t xml:space="preserve">Mexico has long struggled with the formalization of their economy, and the presence of violent international cartels. </w:t>
      </w:r>
      <w:r w:rsidR="002D4EE3">
        <w:rPr>
          <w:rFonts w:ascii="Times New Roman" w:hAnsi="Times New Roman" w:cs="Times New Roman"/>
          <w:sz w:val="24"/>
          <w:szCs w:val="24"/>
        </w:rPr>
        <w:t>M</w:t>
      </w:r>
      <w:r>
        <w:rPr>
          <w:rFonts w:ascii="Times New Roman" w:hAnsi="Times New Roman" w:cs="Times New Roman"/>
          <w:sz w:val="24"/>
          <w:szCs w:val="24"/>
        </w:rPr>
        <w:t xml:space="preserve">anufacturing </w:t>
      </w:r>
      <w:r w:rsidR="002D4EE3">
        <w:rPr>
          <w:rFonts w:ascii="Times New Roman" w:hAnsi="Times New Roman" w:cs="Times New Roman"/>
          <w:sz w:val="24"/>
          <w:szCs w:val="24"/>
        </w:rPr>
        <w:t>generates</w:t>
      </w:r>
      <w:r>
        <w:rPr>
          <w:rFonts w:ascii="Times New Roman" w:hAnsi="Times New Roman" w:cs="Times New Roman"/>
          <w:sz w:val="24"/>
          <w:szCs w:val="24"/>
        </w:rPr>
        <w:t xml:space="preserve"> formal careers</w:t>
      </w:r>
      <w:r w:rsidR="002D4EE3">
        <w:rPr>
          <w:rFonts w:ascii="Times New Roman" w:hAnsi="Times New Roman" w:cs="Times New Roman"/>
          <w:sz w:val="24"/>
          <w:szCs w:val="24"/>
        </w:rPr>
        <w:t>,</w:t>
      </w:r>
      <w:r>
        <w:rPr>
          <w:rFonts w:ascii="Times New Roman" w:hAnsi="Times New Roman" w:cs="Times New Roman"/>
          <w:sz w:val="24"/>
          <w:szCs w:val="24"/>
        </w:rPr>
        <w:t xml:space="preserve"> with both wage and industry growth.</w:t>
      </w:r>
      <w:r w:rsidR="002D4EE3">
        <w:rPr>
          <w:rFonts w:ascii="Times New Roman" w:hAnsi="Times New Roman" w:cs="Times New Roman"/>
          <w:sz w:val="24"/>
          <w:szCs w:val="24"/>
        </w:rPr>
        <w:t xml:space="preserve"> Increasing formal employment expands governmental control and limits the attractiveness and appeal of illegal, often cartel related work.</w:t>
      </w:r>
      <w:r>
        <w:rPr>
          <w:rFonts w:ascii="Times New Roman" w:hAnsi="Times New Roman" w:cs="Times New Roman"/>
          <w:sz w:val="24"/>
          <w:szCs w:val="24"/>
        </w:rPr>
        <w:t xml:space="preserve"> Manufacturing jobs in Mexico have experienced above average wage growth</w:t>
      </w:r>
      <w:r w:rsidR="005A6732">
        <w:rPr>
          <w:rFonts w:ascii="Times New Roman" w:hAnsi="Times New Roman" w:cs="Times New Roman"/>
          <w:sz w:val="24"/>
          <w:szCs w:val="24"/>
        </w:rPr>
        <w:t>, greatly benefitting the economy, lifting many out of poverty</w:t>
      </w:r>
      <w:r>
        <w:rPr>
          <w:rFonts w:ascii="Times New Roman" w:hAnsi="Times New Roman" w:cs="Times New Roman"/>
          <w:sz w:val="24"/>
          <w:szCs w:val="24"/>
        </w:rPr>
        <w:t>. Therefore, a deterioration of the au</w:t>
      </w:r>
      <w:r w:rsidR="005A6732">
        <w:rPr>
          <w:rFonts w:ascii="Times New Roman" w:hAnsi="Times New Roman" w:cs="Times New Roman"/>
          <w:sz w:val="24"/>
          <w:szCs w:val="24"/>
        </w:rPr>
        <w:t xml:space="preserve">tomotive manufacturing is a significant threat to both the Mexican government and society. </w:t>
      </w:r>
    </w:p>
    <w:p w14:paraId="2DC388F4" w14:textId="3B3C6779" w:rsidR="00CB1FED" w:rsidRDefault="00CB1FED" w:rsidP="00E42B21">
      <w:pPr>
        <w:ind w:firstLine="720"/>
        <w:rPr>
          <w:rFonts w:ascii="Times New Roman" w:hAnsi="Times New Roman" w:cs="Times New Roman"/>
          <w:sz w:val="24"/>
          <w:szCs w:val="24"/>
        </w:rPr>
      </w:pPr>
      <w:r>
        <w:rPr>
          <w:noProof/>
        </w:rPr>
        <w:drawing>
          <wp:inline distT="0" distB="0" distL="0" distR="0" wp14:anchorId="6482331A" wp14:editId="76C45632">
            <wp:extent cx="6187440" cy="3058160"/>
            <wp:effectExtent l="0" t="0" r="3810" b="8890"/>
            <wp:docPr id="6" name="Chart 6">
              <a:extLst xmlns:a="http://schemas.openxmlformats.org/drawingml/2006/main">
                <a:ext uri="{FF2B5EF4-FFF2-40B4-BE49-F238E27FC236}">
                  <a16:creationId xmlns:a16="http://schemas.microsoft.com/office/drawing/2014/main" id="{594DDC0F-7C58-49B1-BDEF-3411D9F786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75A64A0" w14:textId="099E085B" w:rsidR="00CB1FED" w:rsidRPr="00172203" w:rsidRDefault="003624A5" w:rsidP="00E42B21">
      <w:pPr>
        <w:ind w:firstLine="720"/>
        <w:rPr>
          <w:rFonts w:ascii="Times New Roman" w:hAnsi="Times New Roman" w:cs="Times New Roman"/>
          <w:sz w:val="24"/>
          <w:szCs w:val="24"/>
        </w:rPr>
      </w:pPr>
      <w:r>
        <w:rPr>
          <w:rFonts w:ascii="Times New Roman" w:hAnsi="Times New Roman" w:cs="Times New Roman"/>
          <w:sz w:val="24"/>
          <w:szCs w:val="24"/>
        </w:rPr>
        <w:t>Mexico faces geographic, political, and criminal headwinds in the pursuit of economic progress. While the decline of the automotive manufacturing sector would be a major loss, similar economies in South America have achieved comparable success. The increasingly nationalistic nature of U.S. trade policies is a worry trend</w:t>
      </w:r>
      <w:r w:rsidR="002D4EE3">
        <w:rPr>
          <w:rFonts w:ascii="Times New Roman" w:hAnsi="Times New Roman" w:cs="Times New Roman"/>
          <w:sz w:val="24"/>
          <w:szCs w:val="24"/>
        </w:rPr>
        <w:t xml:space="preserve"> for Mexico</w:t>
      </w:r>
      <w:r>
        <w:rPr>
          <w:rFonts w:ascii="Times New Roman" w:hAnsi="Times New Roman" w:cs="Times New Roman"/>
          <w:sz w:val="24"/>
          <w:szCs w:val="24"/>
        </w:rPr>
        <w:t>, and adjustments will be required, but economic growth</w:t>
      </w:r>
      <w:r w:rsidR="002D4EE3">
        <w:rPr>
          <w:rFonts w:ascii="Times New Roman" w:hAnsi="Times New Roman" w:cs="Times New Roman"/>
          <w:sz w:val="24"/>
          <w:szCs w:val="24"/>
        </w:rPr>
        <w:t xml:space="preserve"> within the region</w:t>
      </w:r>
      <w:r>
        <w:rPr>
          <w:rFonts w:ascii="Times New Roman" w:hAnsi="Times New Roman" w:cs="Times New Roman"/>
          <w:sz w:val="24"/>
          <w:szCs w:val="24"/>
        </w:rPr>
        <w:t xml:space="preserve"> is not explicitly tied to advanced manufacturing and automotive exports to the United States. </w:t>
      </w:r>
    </w:p>
    <w:sectPr w:rsidR="00CB1FED" w:rsidRPr="00172203" w:rsidSect="001722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203"/>
    <w:rsid w:val="00172203"/>
    <w:rsid w:val="002D4EE3"/>
    <w:rsid w:val="003624A5"/>
    <w:rsid w:val="0051698D"/>
    <w:rsid w:val="005A6732"/>
    <w:rsid w:val="006B19D1"/>
    <w:rsid w:val="006F4524"/>
    <w:rsid w:val="007D49AB"/>
    <w:rsid w:val="00C1007C"/>
    <w:rsid w:val="00C86DEC"/>
    <w:rsid w:val="00CB1FED"/>
    <w:rsid w:val="00E42B21"/>
    <w:rsid w:val="00E73E49"/>
    <w:rsid w:val="00F54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D1DB4"/>
  <w15:chartTrackingRefBased/>
  <w15:docId w15:val="{AC89F6EA-512C-40DD-B38E-3CCB37A15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20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22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webSettings" Target="webSettings.xml"/><Relationship Id="rId7" Type="http://schemas.openxmlformats.org/officeDocument/2006/relationships/chart" Target="charts/chart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hyperlink" Target="https://globalaffairswithgregayres.com/" TargetMode="External"/><Relationship Id="rId9"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2021%20Resumes\Summer%202021\Car%20Data%20in%20LATAM.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Cars%20in%20Latam\Pop%20Pyramid%20Latam.csv"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Gregory\Desktop\2021%20Resumes\Summer%202021\Car%20Data%20in%20LATAM.xls"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Gregory\Desktop\2021%20Resumes\Summer%202021\Car%20Data%20in%20LATAM.xls"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Gregory\Desktop\2021%20Resumes\Summer%202021\Car%20Data%20in%20LATAM.xls"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Automotive</a:t>
            </a:r>
            <a:r>
              <a:rPr lang="en-US" baseline="0"/>
              <a:t> Trade in Latin America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'Car Data v1'!$D$91</c:f>
              <c:strCache>
                <c:ptCount val="1"/>
                <c:pt idx="0">
                  <c:v>Argentina</c:v>
                </c:pt>
              </c:strCache>
            </c:strRef>
          </c:tx>
          <c:spPr>
            <a:ln w="28575" cap="rnd">
              <a:solidFill>
                <a:schemeClr val="accent1"/>
              </a:solidFill>
              <a:round/>
            </a:ln>
            <a:effectLst/>
          </c:spPr>
          <c:marker>
            <c:symbol val="none"/>
          </c:marker>
          <c:cat>
            <c:numRef>
              <c:f>'Car Data v1'!$C$92:$C$116</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'Car Data v1'!$D$92:$D$116</c:f>
              <c:numCache>
                <c:formatCode>General</c:formatCode>
                <c:ptCount val="25"/>
                <c:pt idx="0">
                  <c:v>-1.18</c:v>
                </c:pt>
                <c:pt idx="1">
                  <c:v>-1.97</c:v>
                </c:pt>
                <c:pt idx="2">
                  <c:v>-2.31</c:v>
                </c:pt>
                <c:pt idx="3">
                  <c:v>-2.3800000000000003</c:v>
                </c:pt>
                <c:pt idx="4">
                  <c:v>-1.78</c:v>
                </c:pt>
                <c:pt idx="5">
                  <c:v>-0.89999999999999991</c:v>
                </c:pt>
                <c:pt idx="6">
                  <c:v>2.0000000000000018E-2</c:v>
                </c:pt>
                <c:pt idx="7">
                  <c:v>0.65300000000000014</c:v>
                </c:pt>
                <c:pt idx="8">
                  <c:v>-0.26</c:v>
                </c:pt>
                <c:pt idx="9">
                  <c:v>-1.5300000000000002</c:v>
                </c:pt>
                <c:pt idx="10">
                  <c:v>-1.8399999999999999</c:v>
                </c:pt>
                <c:pt idx="11">
                  <c:v>-1.75</c:v>
                </c:pt>
                <c:pt idx="12">
                  <c:v>-2.5500000000000007</c:v>
                </c:pt>
                <c:pt idx="13">
                  <c:v>-2.75</c:v>
                </c:pt>
                <c:pt idx="14">
                  <c:v>-1</c:v>
                </c:pt>
                <c:pt idx="15">
                  <c:v>-3.0999999999999996</c:v>
                </c:pt>
                <c:pt idx="16">
                  <c:v>-3.2000000000000011</c:v>
                </c:pt>
                <c:pt idx="17">
                  <c:v>-2.6000000000000014</c:v>
                </c:pt>
                <c:pt idx="18">
                  <c:v>-5</c:v>
                </c:pt>
                <c:pt idx="19">
                  <c:v>-1.4900000000000002</c:v>
                </c:pt>
                <c:pt idx="20">
                  <c:v>-3.7399999999999993</c:v>
                </c:pt>
                <c:pt idx="21">
                  <c:v>-5.67</c:v>
                </c:pt>
                <c:pt idx="22">
                  <c:v>-7.9499999999999993</c:v>
                </c:pt>
                <c:pt idx="23">
                  <c:v>-5.0200000000000005</c:v>
                </c:pt>
                <c:pt idx="24">
                  <c:v>-0.71</c:v>
                </c:pt>
              </c:numCache>
            </c:numRef>
          </c:val>
          <c:smooth val="0"/>
          <c:extLst>
            <c:ext xmlns:c16="http://schemas.microsoft.com/office/drawing/2014/chart" uri="{C3380CC4-5D6E-409C-BE32-E72D297353CC}">
              <c16:uniqueId val="{00000000-E19D-4F7D-9472-E57C46EF3065}"/>
            </c:ext>
          </c:extLst>
        </c:ser>
        <c:ser>
          <c:idx val="1"/>
          <c:order val="1"/>
          <c:tx>
            <c:strRef>
              <c:f>'Car Data v1'!$E$91</c:f>
              <c:strCache>
                <c:ptCount val="1"/>
                <c:pt idx="0">
                  <c:v>Chile</c:v>
                </c:pt>
              </c:strCache>
            </c:strRef>
          </c:tx>
          <c:spPr>
            <a:ln w="28575" cap="rnd">
              <a:solidFill>
                <a:srgbClr val="FF0000"/>
              </a:solidFill>
              <a:round/>
            </a:ln>
            <a:effectLst/>
          </c:spPr>
          <c:marker>
            <c:symbol val="none"/>
          </c:marker>
          <c:cat>
            <c:numRef>
              <c:f>'Car Data v1'!$C$92:$C$116</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'Car Data v1'!$E$92:$E$116</c:f>
              <c:numCache>
                <c:formatCode>General</c:formatCode>
                <c:ptCount val="25"/>
                <c:pt idx="0">
                  <c:v>-2.3270000000000004</c:v>
                </c:pt>
                <c:pt idx="1">
                  <c:v>-2.6079999999999997</c:v>
                </c:pt>
                <c:pt idx="2">
                  <c:v>-2.6859999999999999</c:v>
                </c:pt>
                <c:pt idx="3">
                  <c:v>-2.1890000000000001</c:v>
                </c:pt>
                <c:pt idx="4">
                  <c:v>-1.1110000000000002</c:v>
                </c:pt>
                <c:pt idx="5">
                  <c:v>-1.9790000000000001</c:v>
                </c:pt>
                <c:pt idx="6">
                  <c:v>-1.73</c:v>
                </c:pt>
                <c:pt idx="7">
                  <c:v>-1.5640000000000001</c:v>
                </c:pt>
                <c:pt idx="8">
                  <c:v>-1.7749999999999999</c:v>
                </c:pt>
                <c:pt idx="9">
                  <c:v>-2.4630000000000001</c:v>
                </c:pt>
                <c:pt idx="10">
                  <c:v>-3.9860000000000002</c:v>
                </c:pt>
                <c:pt idx="11">
                  <c:v>-4.8339999999999996</c:v>
                </c:pt>
                <c:pt idx="12">
                  <c:v>-5.5019999999999998</c:v>
                </c:pt>
                <c:pt idx="13">
                  <c:v>-6.3390000000000004</c:v>
                </c:pt>
                <c:pt idx="14">
                  <c:v>-3.8259999999999996</c:v>
                </c:pt>
                <c:pt idx="15">
                  <c:v>-7.5129999999999999</c:v>
                </c:pt>
                <c:pt idx="16">
                  <c:v>-9.0990000000000002</c:v>
                </c:pt>
                <c:pt idx="17">
                  <c:v>-10.851999999999999</c:v>
                </c:pt>
                <c:pt idx="18">
                  <c:v>-8.4</c:v>
                </c:pt>
                <c:pt idx="19">
                  <c:v>-6.9320000000000004</c:v>
                </c:pt>
                <c:pt idx="20">
                  <c:v>-6.6180000000000003</c:v>
                </c:pt>
                <c:pt idx="21">
                  <c:v>-6.4939999999999998</c:v>
                </c:pt>
                <c:pt idx="22">
                  <c:v>-7.4689999999999994</c:v>
                </c:pt>
                <c:pt idx="23">
                  <c:v>-9.4130000000000003</c:v>
                </c:pt>
                <c:pt idx="24">
                  <c:v>-8.3780000000000001</c:v>
                </c:pt>
              </c:numCache>
            </c:numRef>
          </c:val>
          <c:smooth val="0"/>
          <c:extLst>
            <c:ext xmlns:c16="http://schemas.microsoft.com/office/drawing/2014/chart" uri="{C3380CC4-5D6E-409C-BE32-E72D297353CC}">
              <c16:uniqueId val="{00000001-E19D-4F7D-9472-E57C46EF3065}"/>
            </c:ext>
          </c:extLst>
        </c:ser>
        <c:ser>
          <c:idx val="2"/>
          <c:order val="2"/>
          <c:tx>
            <c:strRef>
              <c:f>'Car Data v1'!$F$91</c:f>
              <c:strCache>
                <c:ptCount val="1"/>
                <c:pt idx="0">
                  <c:v>Peru</c:v>
                </c:pt>
              </c:strCache>
            </c:strRef>
          </c:tx>
          <c:spPr>
            <a:ln w="28575" cap="rnd">
              <a:solidFill>
                <a:schemeClr val="tx1"/>
              </a:solidFill>
              <a:round/>
            </a:ln>
            <a:effectLst/>
          </c:spPr>
          <c:marker>
            <c:symbol val="none"/>
          </c:marker>
          <c:cat>
            <c:numRef>
              <c:f>'Car Data v1'!$C$92:$C$116</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'Car Data v1'!$F$92:$F$116</c:f>
              <c:numCache>
                <c:formatCode>General</c:formatCode>
                <c:ptCount val="25"/>
                <c:pt idx="0">
                  <c:v>-0.70399999999999996</c:v>
                </c:pt>
                <c:pt idx="1">
                  <c:v>-0.54499999999999993</c:v>
                </c:pt>
                <c:pt idx="2">
                  <c:v>-0.61699999999999999</c:v>
                </c:pt>
                <c:pt idx="3">
                  <c:v>-0.69299999999999995</c:v>
                </c:pt>
                <c:pt idx="4">
                  <c:v>-0.441</c:v>
                </c:pt>
                <c:pt idx="5">
                  <c:v>-0.45900000000000002</c:v>
                </c:pt>
                <c:pt idx="6">
                  <c:v>-0.36299999999999999</c:v>
                </c:pt>
                <c:pt idx="7">
                  <c:v>-0.36199999999999999</c:v>
                </c:pt>
                <c:pt idx="8">
                  <c:v>-0.39699999999999996</c:v>
                </c:pt>
                <c:pt idx="9">
                  <c:v>-0.48699999999999999</c:v>
                </c:pt>
                <c:pt idx="10">
                  <c:v>-0.65100000000000002</c:v>
                </c:pt>
                <c:pt idx="11">
                  <c:v>-0.99099999999999999</c:v>
                </c:pt>
                <c:pt idx="12">
                  <c:v>-1.5570000000000002</c:v>
                </c:pt>
                <c:pt idx="13">
                  <c:v>-2.7039999999999997</c:v>
                </c:pt>
                <c:pt idx="14">
                  <c:v>-1.591</c:v>
                </c:pt>
                <c:pt idx="15">
                  <c:v>-3.1339999999999999</c:v>
                </c:pt>
                <c:pt idx="16">
                  <c:v>-3.57</c:v>
                </c:pt>
                <c:pt idx="17">
                  <c:v>-4.5739999999999998</c:v>
                </c:pt>
                <c:pt idx="18">
                  <c:v>-4.625</c:v>
                </c:pt>
                <c:pt idx="19">
                  <c:v>-3.62</c:v>
                </c:pt>
                <c:pt idx="20">
                  <c:v>-3.5220000000000002</c:v>
                </c:pt>
                <c:pt idx="21">
                  <c:v>-3.5029999999999997</c:v>
                </c:pt>
                <c:pt idx="22">
                  <c:v>-3.8529999999999998</c:v>
                </c:pt>
                <c:pt idx="23">
                  <c:v>-3.5500000000000003</c:v>
                </c:pt>
                <c:pt idx="24">
                  <c:v>-3.706</c:v>
                </c:pt>
              </c:numCache>
            </c:numRef>
          </c:val>
          <c:smooth val="0"/>
          <c:extLst>
            <c:ext xmlns:c16="http://schemas.microsoft.com/office/drawing/2014/chart" uri="{C3380CC4-5D6E-409C-BE32-E72D297353CC}">
              <c16:uniqueId val="{00000002-E19D-4F7D-9472-E57C46EF3065}"/>
            </c:ext>
          </c:extLst>
        </c:ser>
        <c:ser>
          <c:idx val="3"/>
          <c:order val="3"/>
          <c:tx>
            <c:strRef>
              <c:f>'Car Data v1'!$G$91</c:f>
              <c:strCache>
                <c:ptCount val="1"/>
                <c:pt idx="0">
                  <c:v>Colombia</c:v>
                </c:pt>
              </c:strCache>
            </c:strRef>
          </c:tx>
          <c:spPr>
            <a:ln w="28575" cap="rnd">
              <a:solidFill>
                <a:srgbClr val="FFC000"/>
              </a:solidFill>
              <a:round/>
            </a:ln>
            <a:effectLst/>
          </c:spPr>
          <c:marker>
            <c:symbol val="none"/>
          </c:marker>
          <c:cat>
            <c:numRef>
              <c:f>'Car Data v1'!$C$92:$C$116</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'Car Data v1'!$G$92:$G$116</c:f>
              <c:numCache>
                <c:formatCode>General</c:formatCode>
                <c:ptCount val="25"/>
                <c:pt idx="0">
                  <c:v>-1.742</c:v>
                </c:pt>
                <c:pt idx="1">
                  <c:v>-1.4330000000000001</c:v>
                </c:pt>
                <c:pt idx="2">
                  <c:v>-1.8189999999999997</c:v>
                </c:pt>
                <c:pt idx="3">
                  <c:v>-1.7129999999999999</c:v>
                </c:pt>
                <c:pt idx="4">
                  <c:v>-0.73699999999999999</c:v>
                </c:pt>
                <c:pt idx="5">
                  <c:v>-0.81300000000000006</c:v>
                </c:pt>
                <c:pt idx="6">
                  <c:v>-0.91799999999999993</c:v>
                </c:pt>
                <c:pt idx="7">
                  <c:v>-1.0180000000000002</c:v>
                </c:pt>
                <c:pt idx="8">
                  <c:v>-1.1850000000000001</c:v>
                </c:pt>
                <c:pt idx="9">
                  <c:v>-1.8030000000000002</c:v>
                </c:pt>
                <c:pt idx="10">
                  <c:v>-2.0460000000000003</c:v>
                </c:pt>
                <c:pt idx="11">
                  <c:v>-2.7949999999999999</c:v>
                </c:pt>
                <c:pt idx="12">
                  <c:v>-4.24</c:v>
                </c:pt>
                <c:pt idx="13">
                  <c:v>-4.6959999999999997</c:v>
                </c:pt>
                <c:pt idx="14">
                  <c:v>-4.3929999999999998</c:v>
                </c:pt>
                <c:pt idx="15">
                  <c:v>-5.6589999999999998</c:v>
                </c:pt>
                <c:pt idx="16">
                  <c:v>-7.339999999999999</c:v>
                </c:pt>
                <c:pt idx="17">
                  <c:v>-6.9550000000000001</c:v>
                </c:pt>
                <c:pt idx="18">
                  <c:v>-6.73</c:v>
                </c:pt>
                <c:pt idx="19">
                  <c:v>-7.1240000000000006</c:v>
                </c:pt>
                <c:pt idx="20">
                  <c:v>-6.2679999999999998</c:v>
                </c:pt>
                <c:pt idx="21">
                  <c:v>-4.4009999999999998</c:v>
                </c:pt>
                <c:pt idx="22">
                  <c:v>-4.492</c:v>
                </c:pt>
                <c:pt idx="23">
                  <c:v>-4.7679999999999998</c:v>
                </c:pt>
                <c:pt idx="24">
                  <c:v>-5.0490000000000004</c:v>
                </c:pt>
              </c:numCache>
            </c:numRef>
          </c:val>
          <c:smooth val="0"/>
          <c:extLst>
            <c:ext xmlns:c16="http://schemas.microsoft.com/office/drawing/2014/chart" uri="{C3380CC4-5D6E-409C-BE32-E72D297353CC}">
              <c16:uniqueId val="{00000003-E19D-4F7D-9472-E57C46EF3065}"/>
            </c:ext>
          </c:extLst>
        </c:ser>
        <c:ser>
          <c:idx val="4"/>
          <c:order val="4"/>
          <c:tx>
            <c:strRef>
              <c:f>'Car Data v1'!$H$91</c:f>
              <c:strCache>
                <c:ptCount val="1"/>
                <c:pt idx="0">
                  <c:v>Brazil</c:v>
                </c:pt>
              </c:strCache>
            </c:strRef>
          </c:tx>
          <c:spPr>
            <a:ln w="28575" cap="rnd">
              <a:solidFill>
                <a:srgbClr val="00B050"/>
              </a:solidFill>
              <a:round/>
            </a:ln>
            <a:effectLst/>
          </c:spPr>
          <c:marker>
            <c:symbol val="none"/>
          </c:marker>
          <c:cat>
            <c:numRef>
              <c:f>'Car Data v1'!$C$92:$C$116</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'Car Data v1'!$H$92:$H$116</c:f>
              <c:numCache>
                <c:formatCode>General</c:formatCode>
                <c:ptCount val="25"/>
                <c:pt idx="0">
                  <c:v>-3.48</c:v>
                </c:pt>
                <c:pt idx="1">
                  <c:v>-1.6999999999999997</c:v>
                </c:pt>
                <c:pt idx="2">
                  <c:v>-2.2800000000000002</c:v>
                </c:pt>
                <c:pt idx="3">
                  <c:v>-2.46</c:v>
                </c:pt>
                <c:pt idx="4">
                  <c:v>-0.69000000000000039</c:v>
                </c:pt>
                <c:pt idx="5">
                  <c:v>1.3399999999999999</c:v>
                </c:pt>
                <c:pt idx="6">
                  <c:v>0.55999999999999961</c:v>
                </c:pt>
                <c:pt idx="7">
                  <c:v>1.0199999999999996</c:v>
                </c:pt>
                <c:pt idx="8">
                  <c:v>3.5700000000000003</c:v>
                </c:pt>
                <c:pt idx="9">
                  <c:v>6.4900000000000011</c:v>
                </c:pt>
                <c:pt idx="10">
                  <c:v>7.56</c:v>
                </c:pt>
                <c:pt idx="11">
                  <c:v>5.1999999999999993</c:v>
                </c:pt>
                <c:pt idx="12">
                  <c:v>3.4000000000000004</c:v>
                </c:pt>
                <c:pt idx="13">
                  <c:v>-0.5</c:v>
                </c:pt>
                <c:pt idx="14">
                  <c:v>-2.7999999999999989</c:v>
                </c:pt>
                <c:pt idx="15">
                  <c:v>-5.6000000000000014</c:v>
                </c:pt>
                <c:pt idx="16">
                  <c:v>-9.8999999999999986</c:v>
                </c:pt>
                <c:pt idx="17">
                  <c:v>-8.5999999999999979</c:v>
                </c:pt>
                <c:pt idx="18">
                  <c:v>-1.5999999999999979</c:v>
                </c:pt>
                <c:pt idx="19">
                  <c:v>-9.2999999999999989</c:v>
                </c:pt>
                <c:pt idx="20">
                  <c:v>-3.6000000000000014</c:v>
                </c:pt>
                <c:pt idx="21">
                  <c:v>1.6999999999999993</c:v>
                </c:pt>
                <c:pt idx="22">
                  <c:v>2.8000000000000007</c:v>
                </c:pt>
                <c:pt idx="23">
                  <c:v>-2.5</c:v>
                </c:pt>
                <c:pt idx="24">
                  <c:v>-7.3000000000000007</c:v>
                </c:pt>
              </c:numCache>
            </c:numRef>
          </c:val>
          <c:smooth val="0"/>
          <c:extLst>
            <c:ext xmlns:c16="http://schemas.microsoft.com/office/drawing/2014/chart" uri="{C3380CC4-5D6E-409C-BE32-E72D297353CC}">
              <c16:uniqueId val="{00000004-E19D-4F7D-9472-E57C46EF3065}"/>
            </c:ext>
          </c:extLst>
        </c:ser>
        <c:dLbls>
          <c:showLegendKey val="0"/>
          <c:showVal val="0"/>
          <c:showCatName val="0"/>
          <c:showSerName val="0"/>
          <c:showPercent val="0"/>
          <c:showBubbleSize val="0"/>
        </c:dLbls>
        <c:smooth val="0"/>
        <c:axId val="528557928"/>
        <c:axId val="528557600"/>
      </c:lineChart>
      <c:catAx>
        <c:axId val="5285579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8557600"/>
        <c:crosses val="autoZero"/>
        <c:auto val="1"/>
        <c:lblAlgn val="ctr"/>
        <c:lblOffset val="100"/>
        <c:noMultiLvlLbl val="0"/>
      </c:catAx>
      <c:valAx>
        <c:axId val="528557600"/>
        <c:scaling>
          <c:orientation val="minMax"/>
          <c:max val="10"/>
          <c:min val="-12"/>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Net</a:t>
                </a:r>
                <a:r>
                  <a:rPr lang="en-US" baseline="0"/>
                  <a:t> Trade Flow in Automotives ($ BIllions)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8557928"/>
        <c:crosses val="autoZero"/>
        <c:crossBetween val="between"/>
        <c:majorUnit val="2"/>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South</a:t>
            </a:r>
            <a:r>
              <a:rPr lang="en-US" baseline="0"/>
              <a:t> America's Consumption Bulge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3157152230971128"/>
          <c:y val="0.16889799635701275"/>
          <c:w val="0.8393139763779528"/>
          <c:h val="0.63857729873929692"/>
        </c:manualLayout>
      </c:layout>
      <c:barChart>
        <c:barDir val="bar"/>
        <c:grouping val="clustered"/>
        <c:varyColors val="0"/>
        <c:ser>
          <c:idx val="0"/>
          <c:order val="0"/>
          <c:tx>
            <c:v>Males</c:v>
          </c:tx>
          <c:spPr>
            <a:solidFill>
              <a:schemeClr val="accent1"/>
            </a:solidFill>
            <a:ln>
              <a:noFill/>
            </a:ln>
            <a:effectLst/>
          </c:spPr>
          <c:invertIfNegative val="0"/>
          <c:cat>
            <c:strRef>
              <c:f>'Pop Pyramid Latam'!$B$3:$B$22</c:f>
              <c:strCache>
                <c:ptCount val="20"/>
                <c:pt idx="0">
                  <c:v>0-4</c:v>
                </c:pt>
                <c:pt idx="1">
                  <c:v> 5 - 10</c:v>
                </c:pt>
                <c:pt idx="2">
                  <c:v> 11 - 14</c:v>
                </c:pt>
                <c:pt idx="3">
                  <c:v>15-19</c:v>
                </c:pt>
                <c:pt idx="4">
                  <c:v>20-24</c:v>
                </c:pt>
                <c:pt idx="5">
                  <c:v>25-29</c:v>
                </c:pt>
                <c:pt idx="6">
                  <c:v>30-34</c:v>
                </c:pt>
                <c:pt idx="7">
                  <c:v>35-39</c:v>
                </c:pt>
                <c:pt idx="8">
                  <c:v>40-44</c:v>
                </c:pt>
                <c:pt idx="9">
                  <c:v>45-49</c:v>
                </c:pt>
                <c:pt idx="10">
                  <c:v>50-54</c:v>
                </c:pt>
                <c:pt idx="11">
                  <c:v>55-59</c:v>
                </c:pt>
                <c:pt idx="12">
                  <c:v>60-64</c:v>
                </c:pt>
                <c:pt idx="13">
                  <c:v>65-69</c:v>
                </c:pt>
                <c:pt idx="14">
                  <c:v>70-74</c:v>
                </c:pt>
                <c:pt idx="15">
                  <c:v>75-79</c:v>
                </c:pt>
                <c:pt idx="16">
                  <c:v>80-84</c:v>
                </c:pt>
                <c:pt idx="17">
                  <c:v>85-89</c:v>
                </c:pt>
                <c:pt idx="18">
                  <c:v>90-94</c:v>
                </c:pt>
                <c:pt idx="19">
                  <c:v>95-99</c:v>
                </c:pt>
              </c:strCache>
            </c:strRef>
          </c:cat>
          <c:val>
            <c:numRef>
              <c:f>'Pop Pyramid Latam'!$C$3:$C$22</c:f>
              <c:numCache>
                <c:formatCode>0.00</c:formatCode>
                <c:ptCount val="20"/>
                <c:pt idx="0">
                  <c:v>3.8765803102609979</c:v>
                </c:pt>
                <c:pt idx="1">
                  <c:v>3.8876511190863541</c:v>
                </c:pt>
                <c:pt idx="2">
                  <c:v>3.9388366958427774</c:v>
                </c:pt>
                <c:pt idx="3">
                  <c:v>4.0749774448950138</c:v>
                </c:pt>
                <c:pt idx="4">
                  <c:v>4.1396128019143763</c:v>
                </c:pt>
                <c:pt idx="5">
                  <c:v>4.0929894565470111</c:v>
                </c:pt>
                <c:pt idx="6">
                  <c:v>3.970552257196637</c:v>
                </c:pt>
                <c:pt idx="7">
                  <c:v>3.7881662417842876</c:v>
                </c:pt>
                <c:pt idx="8">
                  <c:v>3.3998919770920644</c:v>
                </c:pt>
                <c:pt idx="9">
                  <c:v>2.9879516052783996</c:v>
                </c:pt>
                <c:pt idx="10">
                  <c:v>2.7386734640355974</c:v>
                </c:pt>
                <c:pt idx="11">
                  <c:v>2.4084349122181896</c:v>
                </c:pt>
                <c:pt idx="12">
                  <c:v>1.9447141037363815</c:v>
                </c:pt>
                <c:pt idx="13">
                  <c:v>1.517599536819271</c:v>
                </c:pt>
                <c:pt idx="14">
                  <c:v>1.0593324302278309</c:v>
                </c:pt>
                <c:pt idx="15">
                  <c:v>0.69163362308816834</c:v>
                </c:pt>
                <c:pt idx="16">
                  <c:v>0.4283281654146926</c:v>
                </c:pt>
                <c:pt idx="17">
                  <c:v>0.20476993137421218</c:v>
                </c:pt>
                <c:pt idx="18">
                  <c:v>7.7928755377135048E-2</c:v>
                </c:pt>
                <c:pt idx="19">
                  <c:v>1.9241763370322219E-2</c:v>
                </c:pt>
              </c:numCache>
            </c:numRef>
          </c:val>
          <c:extLst>
            <c:ext xmlns:c16="http://schemas.microsoft.com/office/drawing/2014/chart" uri="{C3380CC4-5D6E-409C-BE32-E72D297353CC}">
              <c16:uniqueId val="{00000000-241A-44BD-BC6D-2876F5356586}"/>
            </c:ext>
          </c:extLst>
        </c:ser>
        <c:ser>
          <c:idx val="1"/>
          <c:order val="1"/>
          <c:tx>
            <c:v>Females</c:v>
          </c:tx>
          <c:spPr>
            <a:solidFill>
              <a:srgbClr val="FF0000"/>
            </a:solidFill>
            <a:ln>
              <a:noFill/>
            </a:ln>
            <a:effectLst/>
          </c:spPr>
          <c:invertIfNegative val="0"/>
          <c:cat>
            <c:strRef>
              <c:f>'Pop Pyramid Latam'!$B$3:$B$22</c:f>
              <c:strCache>
                <c:ptCount val="20"/>
                <c:pt idx="0">
                  <c:v>0-4</c:v>
                </c:pt>
                <c:pt idx="1">
                  <c:v> 5 - 10</c:v>
                </c:pt>
                <c:pt idx="2">
                  <c:v> 11 - 14</c:v>
                </c:pt>
                <c:pt idx="3">
                  <c:v>15-19</c:v>
                </c:pt>
                <c:pt idx="4">
                  <c:v>20-24</c:v>
                </c:pt>
                <c:pt idx="5">
                  <c:v>25-29</c:v>
                </c:pt>
                <c:pt idx="6">
                  <c:v>30-34</c:v>
                </c:pt>
                <c:pt idx="7">
                  <c:v>35-39</c:v>
                </c:pt>
                <c:pt idx="8">
                  <c:v>40-44</c:v>
                </c:pt>
                <c:pt idx="9">
                  <c:v>45-49</c:v>
                </c:pt>
                <c:pt idx="10">
                  <c:v>50-54</c:v>
                </c:pt>
                <c:pt idx="11">
                  <c:v>55-59</c:v>
                </c:pt>
                <c:pt idx="12">
                  <c:v>60-64</c:v>
                </c:pt>
                <c:pt idx="13">
                  <c:v>65-69</c:v>
                </c:pt>
                <c:pt idx="14">
                  <c:v>70-74</c:v>
                </c:pt>
                <c:pt idx="15">
                  <c:v>75-79</c:v>
                </c:pt>
                <c:pt idx="16">
                  <c:v>80-84</c:v>
                </c:pt>
                <c:pt idx="17">
                  <c:v>85-89</c:v>
                </c:pt>
                <c:pt idx="18">
                  <c:v>90-94</c:v>
                </c:pt>
                <c:pt idx="19">
                  <c:v>95-99</c:v>
                </c:pt>
              </c:strCache>
            </c:strRef>
          </c:cat>
          <c:val>
            <c:numRef>
              <c:f>'Pop Pyramid Latam'!$E$3:$E$22</c:f>
              <c:numCache>
                <c:formatCode>0.00</c:formatCode>
                <c:ptCount val="20"/>
                <c:pt idx="0">
                  <c:v>-3.7091961889308322</c:v>
                </c:pt>
                <c:pt idx="1">
                  <c:v>-3.7091961889308322</c:v>
                </c:pt>
                <c:pt idx="2">
                  <c:v>-3.8017707652198545</c:v>
                </c:pt>
                <c:pt idx="3">
                  <c:v>-3.9563924375349391</c:v>
                </c:pt>
                <c:pt idx="4">
                  <c:v>-4.0702916062515726</c:v>
                </c:pt>
                <c:pt idx="5">
                  <c:v>-4.0395592844212169</c:v>
                </c:pt>
                <c:pt idx="6">
                  <c:v>-3.9622363918742791</c:v>
                </c:pt>
                <c:pt idx="7">
                  <c:v>-3.8374499523766765</c:v>
                </c:pt>
                <c:pt idx="8">
                  <c:v>-3.5119641931321679</c:v>
                </c:pt>
                <c:pt idx="9">
                  <c:v>-3.1506388850466465</c:v>
                </c:pt>
                <c:pt idx="10">
                  <c:v>-2.9397379870340905</c:v>
                </c:pt>
                <c:pt idx="11">
                  <c:v>-2.6402111558379748</c:v>
                </c:pt>
                <c:pt idx="12">
                  <c:v>-2.1946685733085656</c:v>
                </c:pt>
                <c:pt idx="13">
                  <c:v>-1.7710658102229029</c:v>
                </c:pt>
                <c:pt idx="14">
                  <c:v>-1.3038907876531665</c:v>
                </c:pt>
                <c:pt idx="15">
                  <c:v>-0.92417749585023168</c:v>
                </c:pt>
                <c:pt idx="16">
                  <c:v>-0.63551312034234897</c:v>
                </c:pt>
                <c:pt idx="17">
                  <c:v>-0.35755154115245436</c:v>
                </c:pt>
                <c:pt idx="18">
                  <c:v>-0.16250772150288301</c:v>
                </c:pt>
                <c:pt idx="19">
                  <c:v>-4.7431240509178074E-2</c:v>
                </c:pt>
              </c:numCache>
            </c:numRef>
          </c:val>
          <c:extLst>
            <c:ext xmlns:c16="http://schemas.microsoft.com/office/drawing/2014/chart" uri="{C3380CC4-5D6E-409C-BE32-E72D297353CC}">
              <c16:uniqueId val="{00000001-241A-44BD-BC6D-2876F5356586}"/>
            </c:ext>
          </c:extLst>
        </c:ser>
        <c:dLbls>
          <c:showLegendKey val="0"/>
          <c:showVal val="0"/>
          <c:showCatName val="0"/>
          <c:showSerName val="0"/>
          <c:showPercent val="0"/>
          <c:showBubbleSize val="0"/>
        </c:dLbls>
        <c:gapWidth val="0"/>
        <c:overlap val="100"/>
        <c:axId val="528316096"/>
        <c:axId val="528316752"/>
      </c:barChart>
      <c:catAx>
        <c:axId val="52831609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Age</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8316752"/>
        <c:crosses val="autoZero"/>
        <c:auto val="1"/>
        <c:lblAlgn val="ctr"/>
        <c:lblOffset val="100"/>
        <c:noMultiLvlLbl val="0"/>
      </c:catAx>
      <c:valAx>
        <c:axId val="52831675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Total Population</a:t>
                </a:r>
                <a:endParaRPr lang="en-US"/>
              </a:p>
            </c:rich>
          </c:tx>
          <c:layout>
            <c:manualLayout>
              <c:xMode val="edge"/>
              <c:yMode val="edge"/>
              <c:x val="0.72307699279302806"/>
              <c:y val="0.9145184327997338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Red]0.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528316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Mexico Automotive Trade After NAFTA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Sheet2!$C$3</c:f>
              <c:strCache>
                <c:ptCount val="1"/>
                <c:pt idx="0">
                  <c:v>Mexico</c:v>
                </c:pt>
              </c:strCache>
            </c:strRef>
          </c:tx>
          <c:spPr>
            <a:ln w="28575" cap="rnd">
              <a:solidFill>
                <a:schemeClr val="accent1"/>
              </a:solidFill>
              <a:round/>
            </a:ln>
            <a:effectLst/>
          </c:spPr>
          <c:marker>
            <c:symbol val="none"/>
          </c:marker>
          <c:cat>
            <c:numRef>
              <c:f>Sheet2!$B$4:$B$28</c:f>
              <c:numCache>
                <c:formatCode>General</c:formatCode>
                <c:ptCount val="2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numCache>
            </c:numRef>
          </c:cat>
          <c:val>
            <c:numRef>
              <c:f>Sheet2!$C$4:$C$28</c:f>
              <c:numCache>
                <c:formatCode>General</c:formatCode>
                <c:ptCount val="25"/>
                <c:pt idx="0">
                  <c:v>7.09</c:v>
                </c:pt>
                <c:pt idx="1">
                  <c:v>10.28</c:v>
                </c:pt>
                <c:pt idx="2">
                  <c:v>8.83</c:v>
                </c:pt>
                <c:pt idx="3">
                  <c:v>9.6</c:v>
                </c:pt>
                <c:pt idx="4">
                  <c:v>12.6</c:v>
                </c:pt>
                <c:pt idx="5">
                  <c:v>13.8</c:v>
                </c:pt>
                <c:pt idx="6">
                  <c:v>13.7</c:v>
                </c:pt>
                <c:pt idx="7">
                  <c:v>13.2</c:v>
                </c:pt>
                <c:pt idx="8">
                  <c:v>13</c:v>
                </c:pt>
                <c:pt idx="9">
                  <c:v>11.2</c:v>
                </c:pt>
                <c:pt idx="10">
                  <c:v>10.6</c:v>
                </c:pt>
                <c:pt idx="11">
                  <c:v>16.100000000000001</c:v>
                </c:pt>
                <c:pt idx="12">
                  <c:v>17.899999999999999</c:v>
                </c:pt>
                <c:pt idx="13">
                  <c:v>16.8</c:v>
                </c:pt>
                <c:pt idx="14">
                  <c:v>17.5</c:v>
                </c:pt>
                <c:pt idx="15">
                  <c:v>28.28</c:v>
                </c:pt>
                <c:pt idx="16">
                  <c:v>32.4</c:v>
                </c:pt>
                <c:pt idx="17">
                  <c:v>38.700000000000003</c:v>
                </c:pt>
                <c:pt idx="18">
                  <c:v>41.8</c:v>
                </c:pt>
                <c:pt idx="19">
                  <c:v>48.5</c:v>
                </c:pt>
                <c:pt idx="20">
                  <c:v>51.7</c:v>
                </c:pt>
                <c:pt idx="21">
                  <c:v>49.7</c:v>
                </c:pt>
                <c:pt idx="22">
                  <c:v>60.8</c:v>
                </c:pt>
                <c:pt idx="23">
                  <c:v>68.5</c:v>
                </c:pt>
                <c:pt idx="24">
                  <c:v>80.099999999999994</c:v>
                </c:pt>
              </c:numCache>
            </c:numRef>
          </c:val>
          <c:smooth val="0"/>
          <c:extLst>
            <c:ext xmlns:c16="http://schemas.microsoft.com/office/drawing/2014/chart" uri="{C3380CC4-5D6E-409C-BE32-E72D297353CC}">
              <c16:uniqueId val="{00000000-7996-416E-910C-BBDFFCC2F132}"/>
            </c:ext>
          </c:extLst>
        </c:ser>
        <c:dLbls>
          <c:showLegendKey val="0"/>
          <c:showVal val="0"/>
          <c:showCatName val="0"/>
          <c:showSerName val="0"/>
          <c:showPercent val="0"/>
          <c:showBubbleSize val="0"/>
        </c:dLbls>
        <c:smooth val="0"/>
        <c:axId val="444070352"/>
        <c:axId val="444062480"/>
      </c:lineChart>
      <c:catAx>
        <c:axId val="4440703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4062480"/>
        <c:crosses val="autoZero"/>
        <c:auto val="1"/>
        <c:lblAlgn val="ctr"/>
        <c:lblOffset val="100"/>
        <c:noMultiLvlLbl val="0"/>
      </c:catAx>
      <c:valAx>
        <c:axId val="4440624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Net</a:t>
                </a:r>
                <a:r>
                  <a:rPr lang="en-US" baseline="0"/>
                  <a:t> Trade Flow (Billions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40703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Incomes</a:t>
            </a:r>
            <a:r>
              <a:rPr lang="en-US" baseline="0"/>
              <a:t> in Latin America</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Sheet1!$B$2</c:f>
              <c:strCache>
                <c:ptCount val="1"/>
                <c:pt idx="0">
                  <c:v>Argentina</c:v>
                </c:pt>
              </c:strCache>
            </c:strRef>
          </c:tx>
          <c:spPr>
            <a:ln w="28575" cap="rnd">
              <a:solidFill>
                <a:schemeClr val="accent1"/>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Sheet1!$B$3:$B$28</c:f>
              <c:numCache>
                <c:formatCode>General</c:formatCode>
                <c:ptCount val="26"/>
                <c:pt idx="0">
                  <c:v>9969</c:v>
                </c:pt>
                <c:pt idx="1">
                  <c:v>10586</c:v>
                </c:pt>
                <c:pt idx="2">
                  <c:v>11507</c:v>
                </c:pt>
                <c:pt idx="3">
                  <c:v>11949</c:v>
                </c:pt>
                <c:pt idx="4">
                  <c:v>11581</c:v>
                </c:pt>
                <c:pt idx="5">
                  <c:v>11618</c:v>
                </c:pt>
                <c:pt idx="6">
                  <c:v>11226</c:v>
                </c:pt>
                <c:pt idx="7">
                  <c:v>10052</c:v>
                </c:pt>
                <c:pt idx="8">
                  <c:v>11025</c:v>
                </c:pt>
                <c:pt idx="9">
                  <c:v>12214</c:v>
                </c:pt>
                <c:pt idx="10">
                  <c:v>13568</c:v>
                </c:pt>
                <c:pt idx="11">
                  <c:v>14951</c:v>
                </c:pt>
                <c:pt idx="12">
                  <c:v>16570</c:v>
                </c:pt>
                <c:pt idx="13">
                  <c:v>17404</c:v>
                </c:pt>
                <c:pt idx="14">
                  <c:v>16334</c:v>
                </c:pt>
                <c:pt idx="15">
                  <c:v>18061</c:v>
                </c:pt>
                <c:pt idx="16">
                  <c:v>19322</c:v>
                </c:pt>
                <c:pt idx="17">
                  <c:v>19641</c:v>
                </c:pt>
                <c:pt idx="18">
                  <c:v>20131</c:v>
                </c:pt>
                <c:pt idx="19">
                  <c:v>19683</c:v>
                </c:pt>
                <c:pt idx="20">
                  <c:v>20105</c:v>
                </c:pt>
                <c:pt idx="21">
                  <c:v>20307</c:v>
                </c:pt>
                <c:pt idx="22">
                  <c:v>23597</c:v>
                </c:pt>
                <c:pt idx="23">
                  <c:v>23305</c:v>
                </c:pt>
                <c:pt idx="24">
                  <c:v>22996</c:v>
                </c:pt>
                <c:pt idx="25">
                  <c:v>20767</c:v>
                </c:pt>
              </c:numCache>
            </c:numRef>
          </c:val>
          <c:smooth val="0"/>
          <c:extLst>
            <c:ext xmlns:c16="http://schemas.microsoft.com/office/drawing/2014/chart" uri="{C3380CC4-5D6E-409C-BE32-E72D297353CC}">
              <c16:uniqueId val="{00000000-99F5-4BCA-87D6-A47B82390BAB}"/>
            </c:ext>
          </c:extLst>
        </c:ser>
        <c:ser>
          <c:idx val="1"/>
          <c:order val="1"/>
          <c:tx>
            <c:strRef>
              <c:f>Sheet1!$C$2</c:f>
              <c:strCache>
                <c:ptCount val="1"/>
                <c:pt idx="0">
                  <c:v>Chile</c:v>
                </c:pt>
              </c:strCache>
            </c:strRef>
          </c:tx>
          <c:spPr>
            <a:ln w="28575" cap="rnd">
              <a:solidFill>
                <a:srgbClr val="FF0000"/>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Sheet1!$C$3:$C$28</c:f>
              <c:numCache>
                <c:formatCode>General</c:formatCode>
                <c:ptCount val="26"/>
                <c:pt idx="0">
                  <c:v>7351</c:v>
                </c:pt>
                <c:pt idx="1">
                  <c:v>8011</c:v>
                </c:pt>
                <c:pt idx="2">
                  <c:v>8637</c:v>
                </c:pt>
                <c:pt idx="3">
                  <c:v>8995</c:v>
                </c:pt>
                <c:pt idx="4">
                  <c:v>8997</c:v>
                </c:pt>
                <c:pt idx="5">
                  <c:v>9553</c:v>
                </c:pt>
                <c:pt idx="6">
                  <c:v>9972</c:v>
                </c:pt>
                <c:pt idx="7">
                  <c:v>10333</c:v>
                </c:pt>
                <c:pt idx="8">
                  <c:v>10841</c:v>
                </c:pt>
                <c:pt idx="9">
                  <c:v>11812</c:v>
                </c:pt>
                <c:pt idx="10">
                  <c:v>12746</c:v>
                </c:pt>
                <c:pt idx="11">
                  <c:v>15753</c:v>
                </c:pt>
                <c:pt idx="12">
                  <c:v>16941</c:v>
                </c:pt>
                <c:pt idx="13">
                  <c:v>16501</c:v>
                </c:pt>
                <c:pt idx="14">
                  <c:v>16159</c:v>
                </c:pt>
                <c:pt idx="15">
                  <c:v>18161</c:v>
                </c:pt>
                <c:pt idx="16">
                  <c:v>20342</c:v>
                </c:pt>
                <c:pt idx="17">
                  <c:v>21507</c:v>
                </c:pt>
                <c:pt idx="18">
                  <c:v>22439</c:v>
                </c:pt>
                <c:pt idx="19">
                  <c:v>22786</c:v>
                </c:pt>
                <c:pt idx="20">
                  <c:v>22698</c:v>
                </c:pt>
                <c:pt idx="21">
                  <c:v>23437</c:v>
                </c:pt>
                <c:pt idx="22">
                  <c:v>24470</c:v>
                </c:pt>
                <c:pt idx="23">
                  <c:v>24740</c:v>
                </c:pt>
                <c:pt idx="24">
                  <c:v>25974</c:v>
                </c:pt>
                <c:pt idx="25">
                  <c:v>25067</c:v>
                </c:pt>
              </c:numCache>
            </c:numRef>
          </c:val>
          <c:smooth val="0"/>
          <c:extLst>
            <c:ext xmlns:c16="http://schemas.microsoft.com/office/drawing/2014/chart" uri="{C3380CC4-5D6E-409C-BE32-E72D297353CC}">
              <c16:uniqueId val="{00000001-99F5-4BCA-87D6-A47B82390BAB}"/>
            </c:ext>
          </c:extLst>
        </c:ser>
        <c:ser>
          <c:idx val="2"/>
          <c:order val="2"/>
          <c:tx>
            <c:strRef>
              <c:f>Sheet1!$D$2</c:f>
              <c:strCache>
                <c:ptCount val="1"/>
                <c:pt idx="0">
                  <c:v>Colombia</c:v>
                </c:pt>
              </c:strCache>
            </c:strRef>
          </c:tx>
          <c:spPr>
            <a:ln w="28575" cap="rnd">
              <a:solidFill>
                <a:srgbClr val="FFC000"/>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Sheet1!$D$3:$D$28</c:f>
              <c:numCache>
                <c:formatCode>General</c:formatCode>
                <c:ptCount val="26"/>
                <c:pt idx="0">
                  <c:v>6401</c:v>
                </c:pt>
                <c:pt idx="1">
                  <c:v>6535</c:v>
                </c:pt>
                <c:pt idx="2">
                  <c:v>6758</c:v>
                </c:pt>
                <c:pt idx="3">
                  <c:v>6758</c:v>
                </c:pt>
                <c:pt idx="4">
                  <c:v>6460</c:v>
                </c:pt>
                <c:pt idx="5">
                  <c:v>6690</c:v>
                </c:pt>
                <c:pt idx="6">
                  <c:v>6843</c:v>
                </c:pt>
                <c:pt idx="7">
                  <c:v>7018</c:v>
                </c:pt>
                <c:pt idx="8">
                  <c:v>7319</c:v>
                </c:pt>
                <c:pt idx="9">
                  <c:v>7806</c:v>
                </c:pt>
                <c:pt idx="10">
                  <c:v>8324</c:v>
                </c:pt>
                <c:pt idx="11">
                  <c:v>9035</c:v>
                </c:pt>
                <c:pt idx="12">
                  <c:v>9781</c:v>
                </c:pt>
                <c:pt idx="13">
                  <c:v>10179</c:v>
                </c:pt>
                <c:pt idx="14">
                  <c:v>10258</c:v>
                </c:pt>
                <c:pt idx="15">
                  <c:v>10731</c:v>
                </c:pt>
                <c:pt idx="16">
                  <c:v>11604</c:v>
                </c:pt>
                <c:pt idx="17">
                  <c:v>12018</c:v>
                </c:pt>
                <c:pt idx="18">
                  <c:v>12727</c:v>
                </c:pt>
                <c:pt idx="19">
                  <c:v>13307</c:v>
                </c:pt>
                <c:pt idx="20">
                  <c:v>13256</c:v>
                </c:pt>
                <c:pt idx="21">
                  <c:v>13812</c:v>
                </c:pt>
                <c:pt idx="22">
                  <c:v>14741</c:v>
                </c:pt>
                <c:pt idx="23">
                  <c:v>14865</c:v>
                </c:pt>
                <c:pt idx="24">
                  <c:v>15621</c:v>
                </c:pt>
                <c:pt idx="25">
                  <c:v>14565</c:v>
                </c:pt>
              </c:numCache>
            </c:numRef>
          </c:val>
          <c:smooth val="0"/>
          <c:extLst>
            <c:ext xmlns:c16="http://schemas.microsoft.com/office/drawing/2014/chart" uri="{C3380CC4-5D6E-409C-BE32-E72D297353CC}">
              <c16:uniqueId val="{00000002-99F5-4BCA-87D6-A47B82390BAB}"/>
            </c:ext>
          </c:extLst>
        </c:ser>
        <c:ser>
          <c:idx val="3"/>
          <c:order val="3"/>
          <c:tx>
            <c:strRef>
              <c:f>Sheet1!$E$2</c:f>
              <c:strCache>
                <c:ptCount val="1"/>
                <c:pt idx="0">
                  <c:v>Peru</c:v>
                </c:pt>
              </c:strCache>
            </c:strRef>
          </c:tx>
          <c:spPr>
            <a:ln w="28575" cap="rnd">
              <a:solidFill>
                <a:schemeClr val="tx1"/>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Sheet1!$E$3:$E$28</c:f>
              <c:numCache>
                <c:formatCode>General</c:formatCode>
                <c:ptCount val="26"/>
                <c:pt idx="0">
                  <c:v>4448</c:v>
                </c:pt>
                <c:pt idx="1">
                  <c:v>4570</c:v>
                </c:pt>
                <c:pt idx="2">
                  <c:v>4861</c:v>
                </c:pt>
                <c:pt idx="3">
                  <c:v>4811</c:v>
                </c:pt>
                <c:pt idx="4">
                  <c:v>4873</c:v>
                </c:pt>
                <c:pt idx="5">
                  <c:v>5043</c:v>
                </c:pt>
                <c:pt idx="6">
                  <c:v>5120</c:v>
                </c:pt>
                <c:pt idx="7">
                  <c:v>5423</c:v>
                </c:pt>
                <c:pt idx="8">
                  <c:v>5697</c:v>
                </c:pt>
                <c:pt idx="9">
                  <c:v>6084</c:v>
                </c:pt>
                <c:pt idx="10">
                  <c:v>6610</c:v>
                </c:pt>
                <c:pt idx="11">
                  <c:v>7262</c:v>
                </c:pt>
                <c:pt idx="12">
                  <c:v>8026</c:v>
                </c:pt>
                <c:pt idx="13">
                  <c:v>8857</c:v>
                </c:pt>
                <c:pt idx="14">
                  <c:v>8951</c:v>
                </c:pt>
                <c:pt idx="15">
                  <c:v>9730</c:v>
                </c:pt>
                <c:pt idx="16">
                  <c:v>10476</c:v>
                </c:pt>
                <c:pt idx="17">
                  <c:v>10767</c:v>
                </c:pt>
                <c:pt idx="18">
                  <c:v>11295</c:v>
                </c:pt>
                <c:pt idx="19">
                  <c:v>11510</c:v>
                </c:pt>
                <c:pt idx="20">
                  <c:v>11572</c:v>
                </c:pt>
                <c:pt idx="21">
                  <c:v>12013</c:v>
                </c:pt>
                <c:pt idx="22">
                  <c:v>12506</c:v>
                </c:pt>
                <c:pt idx="23">
                  <c:v>13088</c:v>
                </c:pt>
                <c:pt idx="24">
                  <c:v>13397</c:v>
                </c:pt>
                <c:pt idx="25">
                  <c:v>11879</c:v>
                </c:pt>
              </c:numCache>
            </c:numRef>
          </c:val>
          <c:smooth val="0"/>
          <c:extLst>
            <c:ext xmlns:c16="http://schemas.microsoft.com/office/drawing/2014/chart" uri="{C3380CC4-5D6E-409C-BE32-E72D297353CC}">
              <c16:uniqueId val="{00000003-99F5-4BCA-87D6-A47B82390BAB}"/>
            </c:ext>
          </c:extLst>
        </c:ser>
        <c:ser>
          <c:idx val="4"/>
          <c:order val="4"/>
          <c:tx>
            <c:strRef>
              <c:f>Sheet1!$F$2</c:f>
              <c:strCache>
                <c:ptCount val="1"/>
                <c:pt idx="0">
                  <c:v>Brazil</c:v>
                </c:pt>
              </c:strCache>
            </c:strRef>
          </c:tx>
          <c:spPr>
            <a:ln w="28575" cap="rnd">
              <a:solidFill>
                <a:srgbClr val="00B050"/>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Sheet1!$F$3:$F$28</c:f>
              <c:numCache>
                <c:formatCode>General</c:formatCode>
                <c:ptCount val="26"/>
                <c:pt idx="0">
                  <c:v>8090</c:v>
                </c:pt>
                <c:pt idx="1">
                  <c:v>8288</c:v>
                </c:pt>
                <c:pt idx="2">
                  <c:v>8582</c:v>
                </c:pt>
                <c:pt idx="3">
                  <c:v>8575</c:v>
                </c:pt>
                <c:pt idx="4">
                  <c:v>8611</c:v>
                </c:pt>
                <c:pt idx="5">
                  <c:v>9060</c:v>
                </c:pt>
                <c:pt idx="6">
                  <c:v>9260</c:v>
                </c:pt>
                <c:pt idx="7">
                  <c:v>9568</c:v>
                </c:pt>
                <c:pt idx="8">
                  <c:v>9733</c:v>
                </c:pt>
                <c:pt idx="9">
                  <c:v>10445</c:v>
                </c:pt>
                <c:pt idx="10">
                  <c:v>10988</c:v>
                </c:pt>
                <c:pt idx="11">
                  <c:v>11642</c:v>
                </c:pt>
                <c:pt idx="12">
                  <c:v>12549</c:v>
                </c:pt>
                <c:pt idx="13">
                  <c:v>13312</c:v>
                </c:pt>
                <c:pt idx="14">
                  <c:v>13269</c:v>
                </c:pt>
                <c:pt idx="15">
                  <c:v>14299</c:v>
                </c:pt>
                <c:pt idx="16">
                  <c:v>15040</c:v>
                </c:pt>
                <c:pt idx="17">
                  <c:v>15046</c:v>
                </c:pt>
                <c:pt idx="18">
                  <c:v>15588</c:v>
                </c:pt>
                <c:pt idx="19">
                  <c:v>15718</c:v>
                </c:pt>
                <c:pt idx="20">
                  <c:v>14744</c:v>
                </c:pt>
                <c:pt idx="21">
                  <c:v>14256</c:v>
                </c:pt>
                <c:pt idx="22">
                  <c:v>14524</c:v>
                </c:pt>
                <c:pt idx="23">
                  <c:v>15020</c:v>
                </c:pt>
                <c:pt idx="24">
                  <c:v>15388</c:v>
                </c:pt>
                <c:pt idx="25">
                  <c:v>14836</c:v>
                </c:pt>
              </c:numCache>
            </c:numRef>
          </c:val>
          <c:smooth val="0"/>
          <c:extLst>
            <c:ext xmlns:c16="http://schemas.microsoft.com/office/drawing/2014/chart" uri="{C3380CC4-5D6E-409C-BE32-E72D297353CC}">
              <c16:uniqueId val="{00000004-99F5-4BCA-87D6-A47B82390BAB}"/>
            </c:ext>
          </c:extLst>
        </c:ser>
        <c:ser>
          <c:idx val="5"/>
          <c:order val="5"/>
          <c:tx>
            <c:strRef>
              <c:f>Sheet1!$G$2</c:f>
              <c:strCache>
                <c:ptCount val="1"/>
                <c:pt idx="0">
                  <c:v>Mexico</c:v>
                </c:pt>
              </c:strCache>
            </c:strRef>
          </c:tx>
          <c:spPr>
            <a:ln w="28575" cap="rnd">
              <a:solidFill>
                <a:srgbClr val="7030A0"/>
              </a:solidFill>
              <a:round/>
            </a:ln>
            <a:effectLst/>
          </c:spPr>
          <c:marker>
            <c:symbol val="none"/>
          </c:marker>
          <c:cat>
            <c:numRef>
              <c:f>Sheet1!$A$3:$A$28</c:f>
              <c:numCache>
                <c:formatCode>General</c:formatCode>
                <c:ptCount val="26"/>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pt idx="22">
                  <c:v>2017</c:v>
                </c:pt>
                <c:pt idx="23">
                  <c:v>2018</c:v>
                </c:pt>
                <c:pt idx="24">
                  <c:v>2019</c:v>
                </c:pt>
                <c:pt idx="25">
                  <c:v>2020</c:v>
                </c:pt>
              </c:numCache>
            </c:numRef>
          </c:cat>
          <c:val>
            <c:numRef>
              <c:f>Sheet1!$G$3:$G$28</c:f>
              <c:numCache>
                <c:formatCode>General</c:formatCode>
                <c:ptCount val="26"/>
                <c:pt idx="0">
                  <c:v>8482</c:v>
                </c:pt>
                <c:pt idx="1">
                  <c:v>9076</c:v>
                </c:pt>
                <c:pt idx="2">
                  <c:v>9712</c:v>
                </c:pt>
                <c:pt idx="3">
                  <c:v>10173</c:v>
                </c:pt>
                <c:pt idx="4">
                  <c:v>10448</c:v>
                </c:pt>
                <c:pt idx="5">
                  <c:v>11089</c:v>
                </c:pt>
                <c:pt idx="6">
                  <c:v>11129</c:v>
                </c:pt>
                <c:pt idx="7">
                  <c:v>11187</c:v>
                </c:pt>
                <c:pt idx="8">
                  <c:v>11482</c:v>
                </c:pt>
                <c:pt idx="9">
                  <c:v>12085</c:v>
                </c:pt>
                <c:pt idx="10">
                  <c:v>12657</c:v>
                </c:pt>
                <c:pt idx="11">
                  <c:v>13808</c:v>
                </c:pt>
                <c:pt idx="12">
                  <c:v>14290</c:v>
                </c:pt>
                <c:pt idx="13">
                  <c:v>14924</c:v>
                </c:pt>
                <c:pt idx="14">
                  <c:v>14558</c:v>
                </c:pt>
                <c:pt idx="15">
                  <c:v>15260</c:v>
                </c:pt>
                <c:pt idx="16">
                  <c:v>16520</c:v>
                </c:pt>
                <c:pt idx="17">
                  <c:v>17162</c:v>
                </c:pt>
                <c:pt idx="18">
                  <c:v>17373</c:v>
                </c:pt>
                <c:pt idx="19">
                  <c:v>18056</c:v>
                </c:pt>
                <c:pt idx="20">
                  <c:v>18301</c:v>
                </c:pt>
                <c:pt idx="21">
                  <c:v>19323</c:v>
                </c:pt>
                <c:pt idx="22">
                  <c:v>19721</c:v>
                </c:pt>
                <c:pt idx="23">
                  <c:v>20257</c:v>
                </c:pt>
                <c:pt idx="24">
                  <c:v>20447</c:v>
                </c:pt>
                <c:pt idx="25">
                  <c:v>18833</c:v>
                </c:pt>
              </c:numCache>
            </c:numRef>
          </c:val>
          <c:smooth val="0"/>
          <c:extLst>
            <c:ext xmlns:c16="http://schemas.microsoft.com/office/drawing/2014/chart" uri="{C3380CC4-5D6E-409C-BE32-E72D297353CC}">
              <c16:uniqueId val="{00000005-99F5-4BCA-87D6-A47B82390BAB}"/>
            </c:ext>
          </c:extLst>
        </c:ser>
        <c:dLbls>
          <c:showLegendKey val="0"/>
          <c:showVal val="0"/>
          <c:showCatName val="0"/>
          <c:showSerName val="0"/>
          <c:showPercent val="0"/>
          <c:showBubbleSize val="0"/>
        </c:dLbls>
        <c:smooth val="0"/>
        <c:axId val="531532696"/>
        <c:axId val="531535320"/>
      </c:lineChart>
      <c:catAx>
        <c:axId val="5315326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1535320"/>
        <c:crosses val="autoZero"/>
        <c:auto val="1"/>
        <c:lblAlgn val="ctr"/>
        <c:lblOffset val="100"/>
        <c:noMultiLvlLbl val="0"/>
      </c:catAx>
      <c:valAx>
        <c:axId val="531535320"/>
        <c:scaling>
          <c:orientation val="minMax"/>
          <c:max val="275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a:t>
                </a:r>
                <a:r>
                  <a:rPr lang="en-US" baseline="0"/>
                  <a:t> Capita GDP (Current Intl.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1532696"/>
        <c:crosses val="autoZero"/>
        <c:crossBetween val="between"/>
        <c:majorUnit val="25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Mexican Auto Manufacturers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Sheet3!$C$1</c:f>
              <c:strCache>
                <c:ptCount val="1"/>
                <c:pt idx="0">
                  <c:v>Auto Manufacturers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Sheet3!$B$2:$B$9</c:f>
              <c:numCache>
                <c:formatCode>General</c:formatCode>
                <c:ptCount val="8"/>
                <c:pt idx="0">
                  <c:v>2013</c:v>
                </c:pt>
                <c:pt idx="1">
                  <c:v>2014</c:v>
                </c:pt>
                <c:pt idx="2">
                  <c:v>2015</c:v>
                </c:pt>
                <c:pt idx="3">
                  <c:v>2016</c:v>
                </c:pt>
                <c:pt idx="4">
                  <c:v>2017</c:v>
                </c:pt>
                <c:pt idx="5">
                  <c:v>2018</c:v>
                </c:pt>
                <c:pt idx="6">
                  <c:v>2019</c:v>
                </c:pt>
                <c:pt idx="7">
                  <c:v>2020</c:v>
                </c:pt>
              </c:numCache>
            </c:numRef>
          </c:cat>
          <c:val>
            <c:numRef>
              <c:f>Sheet3!$C$2:$C$9</c:f>
              <c:numCache>
                <c:formatCode>General</c:formatCode>
                <c:ptCount val="8"/>
                <c:pt idx="0">
                  <c:v>64.680000000000007</c:v>
                </c:pt>
                <c:pt idx="1">
                  <c:v>72.2</c:v>
                </c:pt>
                <c:pt idx="2">
                  <c:v>77.09</c:v>
                </c:pt>
                <c:pt idx="3">
                  <c:v>80.66</c:v>
                </c:pt>
                <c:pt idx="4">
                  <c:v>91.5</c:v>
                </c:pt>
                <c:pt idx="5">
                  <c:v>96.38</c:v>
                </c:pt>
                <c:pt idx="6">
                  <c:v>100.17</c:v>
                </c:pt>
                <c:pt idx="7">
                  <c:v>99.78</c:v>
                </c:pt>
              </c:numCache>
            </c:numRef>
          </c:val>
          <c:extLst>
            <c:ext xmlns:c16="http://schemas.microsoft.com/office/drawing/2014/chart" uri="{C3380CC4-5D6E-409C-BE32-E72D297353CC}">
              <c16:uniqueId val="{00000000-46B8-4145-913F-35D102527F18}"/>
            </c:ext>
          </c:extLst>
        </c:ser>
        <c:dLbls>
          <c:dLblPos val="outEnd"/>
          <c:showLegendKey val="0"/>
          <c:showVal val="1"/>
          <c:showCatName val="0"/>
          <c:showSerName val="0"/>
          <c:showPercent val="0"/>
          <c:showBubbleSize val="0"/>
        </c:dLbls>
        <c:gapWidth val="219"/>
        <c:overlap val="-27"/>
        <c:axId val="460190328"/>
        <c:axId val="460188360"/>
      </c:barChart>
      <c:catAx>
        <c:axId val="4601903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0188360"/>
        <c:crosses val="autoZero"/>
        <c:auto val="1"/>
        <c:lblAlgn val="ctr"/>
        <c:lblOffset val="100"/>
        <c:noMultiLvlLbl val="0"/>
      </c:catAx>
      <c:valAx>
        <c:axId val="4601883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Auto</a:t>
                </a:r>
                <a:r>
                  <a:rPr lang="en-US" baseline="0"/>
                  <a:t> Manufacturing Employment (x1000)</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0190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2021-08-13T04:45:00Z</dcterms:created>
  <dcterms:modified xsi:type="dcterms:W3CDTF">2021-08-13T04:45:00Z</dcterms:modified>
</cp:coreProperties>
</file>