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1.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4954A" w14:textId="1CD4C4E5" w:rsidR="009E6DCB" w:rsidRDefault="00005AB6" w:rsidP="009E6DCB">
      <w:pPr>
        <w:jc w:val="center"/>
        <w:rPr>
          <w:rFonts w:ascii="Times New Roman" w:hAnsi="Times New Roman" w:cs="Times New Roman"/>
          <w:sz w:val="40"/>
          <w:szCs w:val="40"/>
        </w:rPr>
      </w:pPr>
      <w:r>
        <w:rPr>
          <w:rFonts w:ascii="Times New Roman" w:hAnsi="Times New Roman" w:cs="Times New Roman"/>
          <w:sz w:val="40"/>
          <w:szCs w:val="40"/>
        </w:rPr>
        <w:t>Turning out for Change: Wildfires in Southern Europe</w:t>
      </w:r>
    </w:p>
    <w:p w14:paraId="2C2008A8" w14:textId="29923BD1" w:rsidR="009E6DCB" w:rsidRDefault="009E6DCB" w:rsidP="009E6DCB">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4" w:history="1">
        <w:r>
          <w:rPr>
            <w:rStyle w:val="Hyperlink"/>
            <w:b/>
            <w:bCs/>
          </w:rPr>
          <w:t>https://globalaffairswithgregayres.com/</w:t>
        </w:r>
      </w:hyperlink>
      <w:r>
        <w:rPr>
          <w:b/>
          <w:bCs/>
        </w:rPr>
        <w:tab/>
      </w:r>
      <w:r>
        <w:rPr>
          <w:b/>
          <w:bCs/>
        </w:rPr>
        <w:tab/>
        <w:t>8/</w:t>
      </w:r>
      <w:r>
        <w:rPr>
          <w:b/>
          <w:bCs/>
        </w:rPr>
        <w:t>9</w:t>
      </w:r>
      <w:r>
        <w:rPr>
          <w:b/>
          <w:bCs/>
        </w:rPr>
        <w:t>/2021</w:t>
      </w:r>
    </w:p>
    <w:p w14:paraId="6A0D845C" w14:textId="239BA98C" w:rsidR="00005AB6" w:rsidRDefault="00005AB6" w:rsidP="00005AB6">
      <w:pPr>
        <w:rPr>
          <w:b/>
          <w:bCs/>
        </w:rPr>
      </w:pPr>
    </w:p>
    <w:p w14:paraId="258D9E11" w14:textId="77777777" w:rsidR="002442AB" w:rsidRDefault="00005AB6" w:rsidP="00005AB6">
      <w:pPr>
        <w:tabs>
          <w:tab w:val="left" w:pos="10440"/>
        </w:tabs>
        <w:ind w:left="270" w:firstLine="720"/>
        <w:rPr>
          <w:rFonts w:ascii="Times New Roman" w:hAnsi="Times New Roman" w:cs="Times New Roman"/>
          <w:sz w:val="24"/>
          <w:szCs w:val="24"/>
        </w:rPr>
      </w:pPr>
      <w:r>
        <w:rPr>
          <w:rFonts w:ascii="Times New Roman" w:hAnsi="Times New Roman" w:cs="Times New Roman"/>
          <w:sz w:val="24"/>
          <w:szCs w:val="24"/>
        </w:rPr>
        <w:t xml:space="preserve">Disaster Risk Reduction (DRR) is a core responsibility of a nation’s leaders and legislators. DRR is often carried out by a variety of government agencies, private enterprise, and civil society, necessitating strong top-down leadership at the federal level to ensure coherent and effectively implemented strategies. </w:t>
      </w:r>
      <w:r w:rsidR="0002240B">
        <w:rPr>
          <w:rFonts w:ascii="Times New Roman" w:hAnsi="Times New Roman" w:cs="Times New Roman"/>
          <w:sz w:val="24"/>
          <w:szCs w:val="24"/>
        </w:rPr>
        <w:t>Increased voter turnout following destructive forest fires would signify increased political participation, which translates into increased political accountability.</w:t>
      </w:r>
      <w:r w:rsidR="002442AB">
        <w:rPr>
          <w:rFonts w:ascii="Times New Roman" w:hAnsi="Times New Roman" w:cs="Times New Roman"/>
          <w:sz w:val="24"/>
          <w:szCs w:val="24"/>
        </w:rPr>
        <w:t xml:space="preserve"> Proactively increasing political accountability is widely seen as vital step towards successful DRR at the national level.</w:t>
      </w:r>
    </w:p>
    <w:p w14:paraId="25C41775" w14:textId="25E44A70" w:rsidR="00005AB6" w:rsidRDefault="0002240B" w:rsidP="00005AB6">
      <w:pPr>
        <w:tabs>
          <w:tab w:val="left" w:pos="10440"/>
        </w:tabs>
        <w:ind w:left="270" w:firstLine="720"/>
        <w:rPr>
          <w:rFonts w:ascii="Times New Roman" w:hAnsi="Times New Roman" w:cs="Times New Roman"/>
          <w:sz w:val="24"/>
          <w:szCs w:val="24"/>
        </w:rPr>
      </w:pPr>
      <w:r>
        <w:rPr>
          <w:rFonts w:ascii="Times New Roman" w:hAnsi="Times New Roman" w:cs="Times New Roman"/>
          <w:sz w:val="24"/>
          <w:szCs w:val="24"/>
        </w:rPr>
        <w:t xml:space="preserve"> </w:t>
      </w:r>
      <w:r w:rsidR="00005AB6">
        <w:rPr>
          <w:rFonts w:ascii="Times New Roman" w:hAnsi="Times New Roman" w:cs="Times New Roman"/>
          <w:sz w:val="24"/>
          <w:szCs w:val="24"/>
        </w:rPr>
        <w:t xml:space="preserve">Effective national policies for forestry management, land-use, disaster response, and communication are necessary to reduce the risk imposed by forest fires. Forest fires not only threaten lives and impose a financial cost, they can also directly harm environments and ecosystems, further exacerbating the impacts of climate change. Portugal, Spain, France, Italy, and Greece all face the regular threat of forest fires and have establish policies in place to mitigate their effects. Eliminating forest fires entirely is an unrealistic goal, but effective policy application can reduce </w:t>
      </w:r>
      <w:r w:rsidR="00A070C4">
        <w:rPr>
          <w:rFonts w:ascii="Times New Roman" w:hAnsi="Times New Roman" w:cs="Times New Roman"/>
          <w:sz w:val="24"/>
          <w:szCs w:val="24"/>
        </w:rPr>
        <w:t xml:space="preserve">threats to the environment, human life, and economies. </w:t>
      </w:r>
    </w:p>
    <w:p w14:paraId="36CE1198" w14:textId="53364A84" w:rsidR="00A070C4" w:rsidRPr="00005AB6" w:rsidRDefault="00A070C4" w:rsidP="00A070C4">
      <w:pPr>
        <w:tabs>
          <w:tab w:val="left" w:pos="10440"/>
        </w:tabs>
        <w:ind w:left="270" w:firstLine="720"/>
        <w:rPr>
          <w:rFonts w:ascii="Times New Roman" w:hAnsi="Times New Roman" w:cs="Times New Roman"/>
          <w:sz w:val="24"/>
          <w:szCs w:val="24"/>
        </w:rPr>
      </w:pPr>
      <w:r w:rsidRPr="00A070C4">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38164B17" wp14:editId="7EBF75CD">
                <wp:simplePos x="0" y="0"/>
                <wp:positionH relativeFrom="column">
                  <wp:posOffset>4564380</wp:posOffset>
                </wp:positionH>
                <wp:positionV relativeFrom="paragraph">
                  <wp:posOffset>1218565</wp:posOffset>
                </wp:positionV>
                <wp:extent cx="2453640" cy="3124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3640" cy="312420"/>
                        </a:xfrm>
                        <a:prstGeom prst="rect">
                          <a:avLst/>
                        </a:prstGeom>
                        <a:solidFill>
                          <a:srgbClr val="FFFFFF"/>
                        </a:solidFill>
                        <a:ln w="9525">
                          <a:solidFill>
                            <a:srgbClr val="000000"/>
                          </a:solidFill>
                          <a:miter lim="800000"/>
                          <a:headEnd/>
                          <a:tailEnd/>
                        </a:ln>
                      </wps:spPr>
                      <wps:txbx>
                        <w:txbxContent>
                          <w:p w14:paraId="77F1AAB0" w14:textId="1DD8D7A1" w:rsidR="00A070C4" w:rsidRDefault="00A070C4">
                            <w:r>
                              <w:t>Figure 1: Global Affairs with Greg Ayres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164B17" id="_x0000_t202" coordsize="21600,21600" o:spt="202" path="m,l,21600r21600,l21600,xe">
                <v:stroke joinstyle="miter"/>
                <v:path gradientshapeok="t" o:connecttype="rect"/>
              </v:shapetype>
              <v:shape id="Text Box 2" o:spid="_x0000_s1026" type="#_x0000_t202" style="position:absolute;left:0;text-align:left;margin-left:359.4pt;margin-top:95.95pt;width:193.2pt;height:24.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">
                <v:textbox>
                  <w:txbxContent>
                    <w:p w14:paraId="77F1AAB0" w14:textId="1DD8D7A1" w:rsidR="00A070C4" w:rsidRDefault="00A070C4">
                      <w:r>
                        <w:t>Figure 1: Global Affairs with Greg Ayres</w:t>
                      </w:r>
                    </w:p>
                  </w:txbxContent>
                </v:textbox>
                <w10:wrap type="square"/>
              </v:shape>
            </w:pict>
          </mc:Fallback>
        </mc:AlternateContent>
      </w:r>
      <w:r>
        <w:rPr>
          <w:rFonts w:ascii="Times New Roman" w:hAnsi="Times New Roman" w:cs="Times New Roman"/>
          <w:sz w:val="24"/>
          <w:szCs w:val="24"/>
        </w:rPr>
        <w:t xml:space="preserve">A cross comparison of the 5 studied nations shows that Greece and Portugal are at the highest risk of forest fire related disasters. Figure 1 represents the percentage of forested areas within a nation which were lost to forest fires in a given year. Forest fires are notoriously unpredictable, with sharp increases common all five nations during the studied time period. Notably, forest fires are inherently time </w:t>
      </w:r>
      <w:r w:rsidR="008662EB">
        <w:rPr>
          <w:rFonts w:ascii="Times New Roman" w:hAnsi="Times New Roman" w:cs="Times New Roman"/>
          <w:sz w:val="24"/>
          <w:szCs w:val="24"/>
        </w:rPr>
        <w:t>constrained</w:t>
      </w:r>
      <w:r>
        <w:rPr>
          <w:rFonts w:ascii="Times New Roman" w:hAnsi="Times New Roman" w:cs="Times New Roman"/>
          <w:sz w:val="24"/>
          <w:szCs w:val="24"/>
        </w:rPr>
        <w:t xml:space="preserve"> events, a forest burned in one year will struggle to recover in time to sustain another fire the following year. This is visibly reflected by Portugal in Figure 1; the largest peaks saw immediate reductions the following year</w:t>
      </w:r>
      <w:r w:rsidR="008662EB">
        <w:rPr>
          <w:rFonts w:ascii="Times New Roman" w:hAnsi="Times New Roman" w:cs="Times New Roman"/>
          <w:sz w:val="24"/>
          <w:szCs w:val="24"/>
        </w:rPr>
        <w:t>s</w:t>
      </w:r>
      <w:r>
        <w:rPr>
          <w:rFonts w:ascii="Times New Roman" w:hAnsi="Times New Roman" w:cs="Times New Roman"/>
          <w:sz w:val="24"/>
          <w:szCs w:val="24"/>
        </w:rPr>
        <w:t xml:space="preserve">. </w:t>
      </w:r>
      <w:r>
        <w:rPr>
          <w:noProof/>
        </w:rPr>
        <w:drawing>
          <wp:inline distT="0" distB="0" distL="0" distR="0" wp14:anchorId="6DED6A3F" wp14:editId="759D30D1">
            <wp:extent cx="6995160" cy="2689860"/>
            <wp:effectExtent l="19050" t="19050" r="15240" b="15240"/>
            <wp:docPr id="1" name="Chart 1">
              <a:extLst xmlns:a="http://schemas.openxmlformats.org/drawingml/2006/main">
                <a:ext uri="{FF2B5EF4-FFF2-40B4-BE49-F238E27FC236}">
                  <a16:creationId xmlns:a16="http://schemas.microsoft.com/office/drawing/2014/main" id="{5D05E8CD-366D-4CE9-A486-AE67A2A54EB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3C7F1C02" w14:textId="77777777" w:rsidR="009E6DCB" w:rsidRDefault="009E6DCB" w:rsidP="009E6DCB">
      <w:pPr>
        <w:rPr>
          <w:b/>
          <w:bCs/>
        </w:rPr>
      </w:pPr>
    </w:p>
    <w:p w14:paraId="585813F7" w14:textId="58B63353" w:rsidR="00E14EBC" w:rsidRPr="00517124" w:rsidRDefault="00E14EBC" w:rsidP="00E14EBC">
      <w:pPr>
        <w:ind w:firstLine="270"/>
        <w:rPr>
          <w:rFonts w:ascii="Times New Roman" w:hAnsi="Times New Roman" w:cs="Times New Roman"/>
          <w:sz w:val="24"/>
          <w:szCs w:val="24"/>
        </w:rPr>
      </w:pPr>
      <w:r w:rsidRPr="00517124">
        <w:rPr>
          <w:rFonts w:ascii="Times New Roman" w:hAnsi="Times New Roman" w:cs="Times New Roman"/>
          <w:sz w:val="24"/>
          <w:szCs w:val="24"/>
        </w:rPr>
        <w:t xml:space="preserve">Prevailing theory on DRR calls for an increase in “political will”, this involves making, and holding, public officials accountable for both preventative and reactive DRR efforts. Political will, or the political prioritization of DRR policies lacks a single accepted metric. Utilizing voter turnout rate as a proxy, inferences into political will can be theorized. While DRR, climate change policies, and emergency response effectiveness are rarely the primary factors for citizens political participation, extreme disasters or gross mismanagement could </w:t>
      </w:r>
      <w:r w:rsidRPr="00517124">
        <w:rPr>
          <w:rFonts w:ascii="Times New Roman" w:hAnsi="Times New Roman" w:cs="Times New Roman"/>
          <w:sz w:val="24"/>
          <w:szCs w:val="24"/>
        </w:rPr>
        <w:lastRenderedPageBreak/>
        <w:t xml:space="preserve">significantly motivate voter turnout. Examining Portugal’s and Greece’s largest forest fires, and the surrounding election data can determine whether DRR policies are significantly impacting public political participation. </w:t>
      </w:r>
      <w:r w:rsidR="0002240B" w:rsidRPr="00517124">
        <w:rPr>
          <w:rFonts w:ascii="Times New Roman" w:hAnsi="Times New Roman" w:cs="Times New Roman"/>
          <w:sz w:val="24"/>
          <w:szCs w:val="24"/>
        </w:rPr>
        <w:t xml:space="preserve">To date, southern Europe has shown limited increases in political will towards DRR policies, as measured by voter turnout, in the years following significant forest fires. </w:t>
      </w:r>
    </w:p>
    <w:p w14:paraId="009A7849" w14:textId="52F31A25" w:rsidR="00401F92" w:rsidRDefault="005337DC" w:rsidP="00401F92">
      <w:pPr>
        <w:ind w:firstLine="720"/>
      </w:pPr>
      <w:r w:rsidRPr="00517124">
        <w:rPr>
          <w:rFonts w:ascii="Times New Roman" w:hAnsi="Times New Roman" w:cs="Times New Roman"/>
          <w:noProof/>
          <w:sz w:val="24"/>
          <w:szCs w:val="24"/>
        </w:rPr>
        <mc:AlternateContent>
          <mc:Choice Requires="wps">
            <w:drawing>
              <wp:anchor distT="45720" distB="45720" distL="114300" distR="114300" simplePos="0" relativeHeight="251662336" behindDoc="0" locked="0" layoutInCell="1" allowOverlap="1" wp14:anchorId="6E158418" wp14:editId="398A2DDD">
                <wp:simplePos x="0" y="0"/>
                <wp:positionH relativeFrom="column">
                  <wp:posOffset>5730240</wp:posOffset>
                </wp:positionH>
                <wp:positionV relativeFrom="paragraph">
                  <wp:posOffset>800100</wp:posOffset>
                </wp:positionV>
                <wp:extent cx="883920" cy="274320"/>
                <wp:effectExtent l="0" t="0" r="11430" b="1143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920" cy="274320"/>
                        </a:xfrm>
                        <a:prstGeom prst="rect">
                          <a:avLst/>
                        </a:prstGeom>
                        <a:solidFill>
                          <a:srgbClr val="FFFFFF"/>
                        </a:solidFill>
                        <a:ln w="9525">
                          <a:solidFill>
                            <a:srgbClr val="000000"/>
                          </a:solidFill>
                          <a:miter lim="800000"/>
                          <a:headEnd/>
                          <a:tailEnd/>
                        </a:ln>
                      </wps:spPr>
                      <wps:txbx>
                        <w:txbxContent>
                          <w:p w14:paraId="02ABF9D0" w14:textId="5DC5D54D" w:rsidR="005337DC" w:rsidRDefault="005337DC">
                            <w:r>
                              <w:t>Figure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158418" id="_x0000_s1027" type="#_x0000_t202" style="position:absolute;left:0;text-align:left;margin-left:451.2pt;margin-top:63pt;width:69.6pt;height:21.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">
                <v:textbox>
                  <w:txbxContent>
                    <w:p w14:paraId="02ABF9D0" w14:textId="5DC5D54D" w:rsidR="005337DC" w:rsidRDefault="005337DC">
                      <w:r>
                        <w:t>Figure 2</w:t>
                      </w:r>
                    </w:p>
                  </w:txbxContent>
                </v:textbox>
                <w10:wrap type="square"/>
              </v:shape>
            </w:pict>
          </mc:Fallback>
        </mc:AlternateContent>
      </w:r>
      <w:r w:rsidR="00E14EBC" w:rsidRPr="00517124">
        <w:rPr>
          <w:rFonts w:ascii="Times New Roman" w:hAnsi="Times New Roman" w:cs="Times New Roman"/>
          <w:sz w:val="24"/>
          <w:szCs w:val="24"/>
        </w:rPr>
        <w:t xml:space="preserve">Portugal has suffered to a higher degree, and more frequently, from forest fires than the other </w:t>
      </w:r>
      <w:r w:rsidR="00401F92" w:rsidRPr="00517124">
        <w:rPr>
          <w:rFonts w:ascii="Times New Roman" w:hAnsi="Times New Roman" w:cs="Times New Roman"/>
          <w:sz w:val="24"/>
          <w:szCs w:val="24"/>
        </w:rPr>
        <w:t xml:space="preserve">studied nations. In 2017, 15.64% of Portugal’s forested areas were lost to forest fires. On average, Portugal loses more than 4% of their forested areas to fire each year, a mark significantly higher than the other southern European nations in this study. </w:t>
      </w:r>
    </w:p>
    <w:p w14:paraId="3B617983" w14:textId="1A052898" w:rsidR="00401F92" w:rsidRDefault="00401F92" w:rsidP="00401F92">
      <w:pPr>
        <w:ind w:firstLine="720"/>
      </w:pPr>
      <w:r>
        <w:t xml:space="preserve">Average % of all Forested Areas lost to Fire / Year </w:t>
      </w:r>
      <w:r w:rsidRPr="00401F92">
        <w:rPr>
          <w:u w:val="single"/>
        </w:rPr>
        <w:t>(2000-2019)</w:t>
      </w:r>
      <w:r w:rsidR="005337DC">
        <w:rPr>
          <w:u w:val="single"/>
        </w:rPr>
        <w:t xml:space="preserve">   </w:t>
      </w:r>
    </w:p>
    <w:tbl>
      <w:tblPr>
        <w:tblStyle w:val="TableGrid"/>
        <w:tblW w:w="0" w:type="auto"/>
        <w:tblLook w:val="04A0" w:firstRow="1" w:lastRow="0" w:firstColumn="1" w:lastColumn="0" w:noHBand="0" w:noVBand="1"/>
      </w:tblPr>
      <w:tblGrid>
        <w:gridCol w:w="2158"/>
        <w:gridCol w:w="2158"/>
        <w:gridCol w:w="2158"/>
        <w:gridCol w:w="2158"/>
        <w:gridCol w:w="2158"/>
      </w:tblGrid>
      <w:tr w:rsidR="00401F92" w14:paraId="3CBA9E59" w14:textId="77777777" w:rsidTr="00401F92">
        <w:tc>
          <w:tcPr>
            <w:tcW w:w="2158" w:type="dxa"/>
          </w:tcPr>
          <w:p w14:paraId="161C7BC5" w14:textId="2E33279F" w:rsidR="00401F92" w:rsidRDefault="00401F92" w:rsidP="00401F92">
            <w:pPr>
              <w:jc w:val="center"/>
            </w:pPr>
            <w:r>
              <w:t>Portugal</w:t>
            </w:r>
          </w:p>
        </w:tc>
        <w:tc>
          <w:tcPr>
            <w:tcW w:w="2158" w:type="dxa"/>
          </w:tcPr>
          <w:p w14:paraId="5DC4E5F1" w14:textId="1DA7A0B0" w:rsidR="00401F92" w:rsidRDefault="00401F92" w:rsidP="00401F92">
            <w:pPr>
              <w:jc w:val="center"/>
            </w:pPr>
            <w:r>
              <w:t>Spain</w:t>
            </w:r>
          </w:p>
        </w:tc>
        <w:tc>
          <w:tcPr>
            <w:tcW w:w="2158" w:type="dxa"/>
          </w:tcPr>
          <w:p w14:paraId="65B64349" w14:textId="16D58E04" w:rsidR="00401F92" w:rsidRDefault="00401F92" w:rsidP="00401F92">
            <w:pPr>
              <w:jc w:val="center"/>
            </w:pPr>
            <w:r>
              <w:t>France</w:t>
            </w:r>
          </w:p>
        </w:tc>
        <w:tc>
          <w:tcPr>
            <w:tcW w:w="2158" w:type="dxa"/>
          </w:tcPr>
          <w:p w14:paraId="1C404793" w14:textId="002CAC6F" w:rsidR="00401F92" w:rsidRDefault="00401F92" w:rsidP="00401F92">
            <w:pPr>
              <w:jc w:val="center"/>
            </w:pPr>
            <w:r>
              <w:t>Italy</w:t>
            </w:r>
          </w:p>
        </w:tc>
        <w:tc>
          <w:tcPr>
            <w:tcW w:w="2158" w:type="dxa"/>
          </w:tcPr>
          <w:p w14:paraId="69069623" w14:textId="4DAAAEF9" w:rsidR="00401F92" w:rsidRDefault="00401F92" w:rsidP="00401F92">
            <w:pPr>
              <w:jc w:val="center"/>
            </w:pPr>
            <w:r>
              <w:t>Greece</w:t>
            </w:r>
          </w:p>
        </w:tc>
      </w:tr>
      <w:tr w:rsidR="00401F92" w14:paraId="14932C2E" w14:textId="77777777" w:rsidTr="00401F92">
        <w:tc>
          <w:tcPr>
            <w:tcW w:w="2158" w:type="dxa"/>
          </w:tcPr>
          <w:p w14:paraId="5E5989CE" w14:textId="23042762" w:rsidR="00401F92" w:rsidRDefault="00401F92" w:rsidP="00401F92">
            <w:pPr>
              <w:jc w:val="center"/>
            </w:pPr>
            <w:r>
              <w:t>4.11%</w:t>
            </w:r>
          </w:p>
        </w:tc>
        <w:tc>
          <w:tcPr>
            <w:tcW w:w="2158" w:type="dxa"/>
          </w:tcPr>
          <w:p w14:paraId="2C089CFF" w14:textId="1222679D" w:rsidR="00401F92" w:rsidRDefault="00401F92" w:rsidP="00401F92">
            <w:pPr>
              <w:jc w:val="center"/>
            </w:pPr>
            <w:r>
              <w:t>0.61%</w:t>
            </w:r>
          </w:p>
        </w:tc>
        <w:tc>
          <w:tcPr>
            <w:tcW w:w="2158" w:type="dxa"/>
          </w:tcPr>
          <w:p w14:paraId="617BB176" w14:textId="716B10D6" w:rsidR="00401F92" w:rsidRDefault="00401F92" w:rsidP="00401F92">
            <w:pPr>
              <w:jc w:val="center"/>
            </w:pPr>
            <w:r>
              <w:t>0.11%</w:t>
            </w:r>
          </w:p>
        </w:tc>
        <w:tc>
          <w:tcPr>
            <w:tcW w:w="2158" w:type="dxa"/>
          </w:tcPr>
          <w:p w14:paraId="6153D900" w14:textId="3B7990B9" w:rsidR="00401F92" w:rsidRDefault="00401F92" w:rsidP="00401F92">
            <w:pPr>
              <w:jc w:val="center"/>
            </w:pPr>
            <w:r>
              <w:t>0.78%</w:t>
            </w:r>
          </w:p>
        </w:tc>
        <w:tc>
          <w:tcPr>
            <w:tcW w:w="2158" w:type="dxa"/>
          </w:tcPr>
          <w:p w14:paraId="68B8CCBC" w14:textId="0AAFDD15" w:rsidR="00401F92" w:rsidRDefault="00401F92" w:rsidP="00401F92">
            <w:pPr>
              <w:jc w:val="center"/>
            </w:pPr>
            <w:r>
              <w:t>0.94%</w:t>
            </w:r>
          </w:p>
        </w:tc>
      </w:tr>
    </w:tbl>
    <w:p w14:paraId="3E926FE4" w14:textId="5D198F51" w:rsidR="00916BF2" w:rsidRPr="002C213D" w:rsidRDefault="005337DC" w:rsidP="00517124">
      <w:pPr>
        <w:ind w:firstLine="720"/>
        <w:rPr>
          <w:rFonts w:ascii="Times New Roman" w:hAnsi="Times New Roman" w:cs="Times New Roman"/>
          <w:sz w:val="24"/>
          <w:szCs w:val="24"/>
        </w:rPr>
      </w:pPr>
      <w:r w:rsidRPr="002C213D">
        <w:rPr>
          <w:rFonts w:ascii="Times New Roman" w:hAnsi="Times New Roman" w:cs="Times New Roman"/>
          <w:noProof/>
          <w:sz w:val="24"/>
          <w:szCs w:val="24"/>
        </w:rPr>
        <mc:AlternateContent>
          <mc:Choice Requires="wps">
            <w:drawing>
              <wp:anchor distT="45720" distB="45720" distL="114300" distR="114300" simplePos="0" relativeHeight="251664384" behindDoc="0" locked="0" layoutInCell="1" allowOverlap="1" wp14:anchorId="0D880BB0" wp14:editId="7E662666">
                <wp:simplePos x="0" y="0"/>
                <wp:positionH relativeFrom="column">
                  <wp:posOffset>4495800</wp:posOffset>
                </wp:positionH>
                <wp:positionV relativeFrom="paragraph">
                  <wp:posOffset>1776095</wp:posOffset>
                </wp:positionV>
                <wp:extent cx="2522220" cy="259080"/>
                <wp:effectExtent l="0" t="0" r="11430" b="2667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2220" cy="259080"/>
                        </a:xfrm>
                        <a:prstGeom prst="rect">
                          <a:avLst/>
                        </a:prstGeom>
                        <a:solidFill>
                          <a:srgbClr val="FFFFFF"/>
                        </a:solidFill>
                        <a:ln w="9525">
                          <a:solidFill>
                            <a:srgbClr val="000000"/>
                          </a:solidFill>
                          <a:miter lim="800000"/>
                          <a:headEnd/>
                          <a:tailEnd/>
                        </a:ln>
                      </wps:spPr>
                      <wps:txbx>
                        <w:txbxContent>
                          <w:p w14:paraId="6F8E1478" w14:textId="54313BDD" w:rsidR="005337DC" w:rsidRDefault="005337DC">
                            <w:r>
                              <w:t xml:space="preserve">Figure 3: Global Affairs with Greg Ayres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880BB0" id="_x0000_s1028" type="#_x0000_t202" style="position:absolute;left:0;text-align:left;margin-left:354pt;margin-top:139.85pt;width:198.6pt;height:20.4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">
                <v:textbox>
                  <w:txbxContent>
                    <w:p w14:paraId="6F8E1478" w14:textId="54313BDD" w:rsidR="005337DC" w:rsidRDefault="005337DC">
                      <w:r>
                        <w:t xml:space="preserve">Figure 3: Global Affairs with Greg Ayres </w:t>
                      </w:r>
                    </w:p>
                  </w:txbxContent>
                </v:textbox>
                <w10:wrap type="square"/>
              </v:shape>
            </w:pict>
          </mc:Fallback>
        </mc:AlternateContent>
      </w:r>
      <w:r w:rsidR="00916BF2" w:rsidRPr="002C213D">
        <w:rPr>
          <w:rFonts w:ascii="Times New Roman" w:hAnsi="Times New Roman" w:cs="Times New Roman"/>
          <w:sz w:val="24"/>
          <w:szCs w:val="24"/>
        </w:rPr>
        <w:t xml:space="preserve">Comparing Portugal’s most destructive forest fires, with the voter turnout rate for parliamentary elections fails to provide conclusive evidence for DRR mishaps increasing political involvement. Without increased political involvement, the </w:t>
      </w:r>
      <w:r w:rsidR="008662EB">
        <w:rPr>
          <w:rFonts w:ascii="Times New Roman" w:hAnsi="Times New Roman" w:cs="Times New Roman"/>
          <w:sz w:val="24"/>
          <w:szCs w:val="24"/>
        </w:rPr>
        <w:t>creation</w:t>
      </w:r>
      <w:r w:rsidR="00916BF2" w:rsidRPr="002C213D">
        <w:rPr>
          <w:rFonts w:ascii="Times New Roman" w:hAnsi="Times New Roman" w:cs="Times New Roman"/>
          <w:sz w:val="24"/>
          <w:szCs w:val="24"/>
        </w:rPr>
        <w:t xml:space="preserve"> of increased political will, and subsequent prioritization of DRR policies </w:t>
      </w:r>
      <w:r w:rsidR="003F7984" w:rsidRPr="002C213D">
        <w:rPr>
          <w:rFonts w:ascii="Times New Roman" w:hAnsi="Times New Roman" w:cs="Times New Roman"/>
          <w:sz w:val="24"/>
          <w:szCs w:val="24"/>
        </w:rPr>
        <w:t xml:space="preserve">appears unlikely. While the </w:t>
      </w:r>
      <w:r w:rsidR="008662EB">
        <w:rPr>
          <w:rFonts w:ascii="Times New Roman" w:hAnsi="Times New Roman" w:cs="Times New Roman"/>
          <w:sz w:val="24"/>
          <w:szCs w:val="24"/>
        </w:rPr>
        <w:t xml:space="preserve">Portuguese </w:t>
      </w:r>
      <w:r w:rsidR="003F7984" w:rsidRPr="002C213D">
        <w:rPr>
          <w:rFonts w:ascii="Times New Roman" w:hAnsi="Times New Roman" w:cs="Times New Roman"/>
          <w:sz w:val="24"/>
          <w:szCs w:val="24"/>
        </w:rPr>
        <w:t>elections of 2002 and 2004 provide a positive example, with voter turnout increasing following the 2003 fires</w:t>
      </w:r>
      <w:r w:rsidR="008662EB">
        <w:rPr>
          <w:rFonts w:ascii="Times New Roman" w:hAnsi="Times New Roman" w:cs="Times New Roman"/>
          <w:sz w:val="24"/>
          <w:szCs w:val="24"/>
        </w:rPr>
        <w:t>;</w:t>
      </w:r>
      <w:r w:rsidR="003F7984" w:rsidRPr="002C213D">
        <w:rPr>
          <w:rFonts w:ascii="Times New Roman" w:hAnsi="Times New Roman" w:cs="Times New Roman"/>
          <w:sz w:val="24"/>
          <w:szCs w:val="24"/>
        </w:rPr>
        <w:t xml:space="preserve"> the second largest amongst all nations in the sample era, the drop-off following the 2017 fires detracts from this conclusion. The condensed time frame, between 2002 and 2004, is more likely to reflect political motivations, as DRR policies disappear notoriously quickly from the media and public attention. The elections of 2019 are a full two years removed from the 2017 fires and follow the decades long decline in voter turnout. Portugal’s individual case fails to demonstrate increased political participation in the aftermath of disasters conclusively. </w:t>
      </w:r>
    </w:p>
    <w:p w14:paraId="4730A4BF" w14:textId="7F396010" w:rsidR="003F7984" w:rsidRDefault="003F7984" w:rsidP="002C213D">
      <w:pPr>
        <w:rPr>
          <w:noProof/>
        </w:rPr>
      </w:pPr>
      <w:r>
        <w:rPr>
          <w:noProof/>
        </w:rPr>
        <mc:AlternateContent>
          <mc:Choice Requires="wps">
            <w:drawing>
              <wp:anchor distT="0" distB="0" distL="114300" distR="114300" simplePos="0" relativeHeight="251660288" behindDoc="0" locked="0" layoutInCell="1" allowOverlap="1" wp14:anchorId="1D2A9D09" wp14:editId="65141605">
                <wp:simplePos x="0" y="0"/>
                <wp:positionH relativeFrom="column">
                  <wp:posOffset>1722120</wp:posOffset>
                </wp:positionH>
                <wp:positionV relativeFrom="paragraph">
                  <wp:posOffset>980440</wp:posOffset>
                </wp:positionV>
                <wp:extent cx="1028700" cy="594360"/>
                <wp:effectExtent l="0" t="0" r="19050" b="15240"/>
                <wp:wrapNone/>
                <wp:docPr id="3" name="Oval 3"/>
                <wp:cNvGraphicFramePr/>
                <a:graphic xmlns:a="http://schemas.openxmlformats.org/drawingml/2006/main">
                  <a:graphicData uri="http://schemas.microsoft.com/office/word/2010/wordprocessingShape">
                    <wps:wsp>
                      <wps:cNvSpPr/>
                      <wps:spPr>
                        <a:xfrm>
                          <a:off x="0" y="0"/>
                          <a:ext cx="1028700" cy="59436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2C2A38" id="Oval 3" o:spid="_x0000_s1026" style="position:absolute;margin-left:135.6pt;margin-top:77.2pt;width:81pt;height:4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" filled="f" strokecolor="#1f3763 [1604]" strokeweight="1pt">
                <v:stroke joinstyle="miter"/>
              </v:oval>
            </w:pict>
          </mc:Fallback>
        </mc:AlternateContent>
      </w:r>
      <w:r w:rsidR="00916BF2">
        <w:rPr>
          <w:noProof/>
        </w:rPr>
        <w:drawing>
          <wp:inline distT="0" distB="0" distL="0" distR="0" wp14:anchorId="3429D6CB" wp14:editId="3EE75FF6">
            <wp:extent cx="6995160" cy="2606040"/>
            <wp:effectExtent l="19050" t="19050" r="15240" b="22860"/>
            <wp:docPr id="2" name="Chart 2">
              <a:extLst xmlns:a="http://schemas.openxmlformats.org/drawingml/2006/main">
                <a:ext uri="{FF2B5EF4-FFF2-40B4-BE49-F238E27FC236}">
                  <a16:creationId xmlns:a16="http://schemas.microsoft.com/office/drawing/2014/main" id="{1F453CCC-6071-49DE-8631-2FFD8678056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E3A5C9E" w14:textId="381FCC1B" w:rsidR="005337DC" w:rsidRPr="002C213D" w:rsidRDefault="003F7984" w:rsidP="003F7984">
      <w:pPr>
        <w:tabs>
          <w:tab w:val="left" w:pos="3000"/>
        </w:tabs>
        <w:rPr>
          <w:rFonts w:ascii="Times New Roman" w:hAnsi="Times New Roman" w:cs="Times New Roman"/>
          <w:sz w:val="24"/>
          <w:szCs w:val="24"/>
        </w:rPr>
      </w:pPr>
      <w:r>
        <w:rPr>
          <w:noProof/>
        </w:rPr>
        <w:t xml:space="preserve">              </w:t>
      </w:r>
      <w:r w:rsidRPr="002C213D">
        <w:rPr>
          <w:rFonts w:ascii="Times New Roman" w:hAnsi="Times New Roman" w:cs="Times New Roman"/>
          <w:noProof/>
          <w:sz w:val="24"/>
          <w:szCs w:val="24"/>
        </w:rPr>
        <w:t xml:space="preserve"> </w:t>
      </w:r>
      <w:r w:rsidRPr="002C213D">
        <w:rPr>
          <w:rFonts w:ascii="Times New Roman" w:hAnsi="Times New Roman" w:cs="Times New Roman"/>
          <w:sz w:val="24"/>
          <w:szCs w:val="24"/>
        </w:rPr>
        <w:t xml:space="preserve">Greece has also suffered greatly from forest fires in the past two decades, </w:t>
      </w:r>
      <w:r w:rsidR="005337DC" w:rsidRPr="002C213D">
        <w:rPr>
          <w:rFonts w:ascii="Times New Roman" w:hAnsi="Times New Roman" w:cs="Times New Roman"/>
          <w:sz w:val="24"/>
          <w:szCs w:val="24"/>
        </w:rPr>
        <w:t>the largest of which occurred in 2007. Voter turnout has been in decline in Greece since the turn of the century. Voter turnout fell 20% between 2004 and 2015, an average of 2% a year. This makes the relatively slight decline between 2004 and 200</w:t>
      </w:r>
      <w:r w:rsidR="008662EB">
        <w:rPr>
          <w:rFonts w:ascii="Times New Roman" w:hAnsi="Times New Roman" w:cs="Times New Roman"/>
          <w:sz w:val="24"/>
          <w:szCs w:val="24"/>
        </w:rPr>
        <w:t>7</w:t>
      </w:r>
      <w:r w:rsidR="005337DC" w:rsidRPr="002C213D">
        <w:rPr>
          <w:rFonts w:ascii="Times New Roman" w:hAnsi="Times New Roman" w:cs="Times New Roman"/>
          <w:sz w:val="24"/>
          <w:szCs w:val="24"/>
        </w:rPr>
        <w:t>, only 2.2% over 3 years a notable outlier. The 2007 elections took place on September 16</w:t>
      </w:r>
      <w:r w:rsidR="005337DC" w:rsidRPr="002C213D">
        <w:rPr>
          <w:rFonts w:ascii="Times New Roman" w:hAnsi="Times New Roman" w:cs="Times New Roman"/>
          <w:sz w:val="24"/>
          <w:szCs w:val="24"/>
          <w:vertAlign w:val="superscript"/>
        </w:rPr>
        <w:t>th</w:t>
      </w:r>
      <w:r w:rsidR="005337DC" w:rsidRPr="002C213D">
        <w:rPr>
          <w:rFonts w:ascii="Times New Roman" w:hAnsi="Times New Roman" w:cs="Times New Roman"/>
          <w:sz w:val="24"/>
          <w:szCs w:val="24"/>
        </w:rPr>
        <w:t>, following the nations most destructive forest fires</w:t>
      </w:r>
      <w:r w:rsidR="008662EB">
        <w:rPr>
          <w:rFonts w:ascii="Times New Roman" w:hAnsi="Times New Roman" w:cs="Times New Roman"/>
          <w:sz w:val="24"/>
          <w:szCs w:val="24"/>
        </w:rPr>
        <w:t>,</w:t>
      </w:r>
      <w:r w:rsidR="005337DC" w:rsidRPr="002C213D">
        <w:rPr>
          <w:rFonts w:ascii="Times New Roman" w:hAnsi="Times New Roman" w:cs="Times New Roman"/>
          <w:sz w:val="24"/>
          <w:szCs w:val="24"/>
        </w:rPr>
        <w:t xml:space="preserve"> which began in June</w:t>
      </w:r>
      <w:r w:rsidR="008662EB">
        <w:rPr>
          <w:rFonts w:ascii="Times New Roman" w:hAnsi="Times New Roman" w:cs="Times New Roman"/>
          <w:sz w:val="24"/>
          <w:szCs w:val="24"/>
        </w:rPr>
        <w:t>,</w:t>
      </w:r>
      <w:r w:rsidR="005337DC" w:rsidRPr="002C213D">
        <w:rPr>
          <w:rFonts w:ascii="Times New Roman" w:hAnsi="Times New Roman" w:cs="Times New Roman"/>
          <w:sz w:val="24"/>
          <w:szCs w:val="24"/>
        </w:rPr>
        <w:t xml:space="preserve"> and were brought under control only days before the election. The presence of an ongoing disaster, and voter turnout above the trendline, indicates potentially increased political will for DRR policies. However, the highest voter turnout was recorded in 2004, preceding the increase in destructive fires from 2007 to 2016. </w:t>
      </w:r>
      <w:r w:rsidR="00FC75AF" w:rsidRPr="002C213D">
        <w:rPr>
          <w:rFonts w:ascii="Times New Roman" w:hAnsi="Times New Roman" w:cs="Times New Roman"/>
          <w:sz w:val="24"/>
          <w:szCs w:val="24"/>
        </w:rPr>
        <w:t xml:space="preserve">The elections of 2012, occurring just months apart, during relatively high severe forest fires, saw a decline in voter turnout. </w:t>
      </w:r>
      <w:r w:rsidR="005337DC" w:rsidRPr="002C213D">
        <w:rPr>
          <w:rFonts w:ascii="Times New Roman" w:hAnsi="Times New Roman" w:cs="Times New Roman"/>
          <w:sz w:val="24"/>
          <w:szCs w:val="24"/>
        </w:rPr>
        <w:t>High</w:t>
      </w:r>
      <w:r w:rsidR="008662EB">
        <w:rPr>
          <w:rFonts w:ascii="Times New Roman" w:hAnsi="Times New Roman" w:cs="Times New Roman"/>
          <w:sz w:val="24"/>
          <w:szCs w:val="24"/>
        </w:rPr>
        <w:t>er</w:t>
      </w:r>
      <w:r w:rsidR="005337DC" w:rsidRPr="002C213D">
        <w:rPr>
          <w:rFonts w:ascii="Times New Roman" w:hAnsi="Times New Roman" w:cs="Times New Roman"/>
          <w:sz w:val="24"/>
          <w:szCs w:val="24"/>
        </w:rPr>
        <w:t xml:space="preserve"> levels of voter turnout have failed to</w:t>
      </w:r>
      <w:r w:rsidR="008662EB">
        <w:rPr>
          <w:rFonts w:ascii="Times New Roman" w:hAnsi="Times New Roman" w:cs="Times New Roman"/>
          <w:sz w:val="24"/>
          <w:szCs w:val="24"/>
        </w:rPr>
        <w:t xml:space="preserve"> consistently</w:t>
      </w:r>
      <w:r w:rsidR="005337DC" w:rsidRPr="002C213D">
        <w:rPr>
          <w:rFonts w:ascii="Times New Roman" w:hAnsi="Times New Roman" w:cs="Times New Roman"/>
          <w:sz w:val="24"/>
          <w:szCs w:val="24"/>
        </w:rPr>
        <w:t xml:space="preserve"> reduce the risk</w:t>
      </w:r>
      <w:r w:rsidR="008662EB">
        <w:rPr>
          <w:rFonts w:ascii="Times New Roman" w:hAnsi="Times New Roman" w:cs="Times New Roman"/>
          <w:sz w:val="24"/>
          <w:szCs w:val="24"/>
        </w:rPr>
        <w:t xml:space="preserve"> impact</w:t>
      </w:r>
      <w:r w:rsidR="005337DC" w:rsidRPr="002C213D">
        <w:rPr>
          <w:rFonts w:ascii="Times New Roman" w:hAnsi="Times New Roman" w:cs="Times New Roman"/>
          <w:sz w:val="24"/>
          <w:szCs w:val="24"/>
        </w:rPr>
        <w:t xml:space="preserve"> of forest fires in the following years.   </w:t>
      </w:r>
    </w:p>
    <w:p w14:paraId="0B525652" w14:textId="07DDEC80" w:rsidR="005337DC" w:rsidRDefault="005337DC" w:rsidP="005337DC">
      <w:pPr>
        <w:tabs>
          <w:tab w:val="left" w:pos="3000"/>
        </w:tabs>
        <w:jc w:val="right"/>
      </w:pPr>
    </w:p>
    <w:p w14:paraId="4612B51D" w14:textId="67C6B0DB" w:rsidR="005337DC" w:rsidRDefault="00674A54" w:rsidP="003F7984">
      <w:pPr>
        <w:tabs>
          <w:tab w:val="left" w:pos="3000"/>
        </w:tabs>
      </w:pPr>
      <w:r>
        <w:rPr>
          <w:noProof/>
        </w:rPr>
        <mc:AlternateContent>
          <mc:Choice Requires="wps">
            <w:drawing>
              <wp:anchor distT="45720" distB="45720" distL="114300" distR="114300" simplePos="0" relativeHeight="251666432" behindDoc="0" locked="0" layoutInCell="1" allowOverlap="1" wp14:anchorId="6D098756" wp14:editId="403E649C">
                <wp:simplePos x="0" y="0"/>
                <wp:positionH relativeFrom="column">
                  <wp:posOffset>4472940</wp:posOffset>
                </wp:positionH>
                <wp:positionV relativeFrom="paragraph">
                  <wp:posOffset>2955290</wp:posOffset>
                </wp:positionV>
                <wp:extent cx="2360930" cy="266700"/>
                <wp:effectExtent l="0" t="0" r="19050"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66700"/>
                        </a:xfrm>
                        <a:prstGeom prst="rect">
                          <a:avLst/>
                        </a:prstGeom>
                        <a:solidFill>
                          <a:srgbClr val="FFFFFF"/>
                        </a:solidFill>
                        <a:ln w="9525">
                          <a:solidFill>
                            <a:srgbClr val="000000"/>
                          </a:solidFill>
                          <a:miter lim="800000"/>
                          <a:headEnd/>
                          <a:tailEnd/>
                        </a:ln>
                      </wps:spPr>
                      <wps:txbx>
                        <w:txbxContent>
                          <w:p w14:paraId="47692887" w14:textId="77777777" w:rsidR="005337DC" w:rsidRDefault="005337DC" w:rsidP="005337DC">
                            <w:r>
                              <w:t xml:space="preserve">Figure 4:  Global Affairs with Greg Ayres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D098756" id="_x0000_s1029" type="#_x0000_t202" style="position:absolute;margin-left:352.2pt;margin-top:232.7pt;width:185.9pt;height:21pt;z-index:2516664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">
                <v:textbox>
                  <w:txbxContent>
                    <w:p w14:paraId="47692887" w14:textId="77777777" w:rsidR="005337DC" w:rsidRDefault="005337DC" w:rsidP="005337DC">
                      <w:r>
                        <w:t xml:space="preserve">Figure 4:  Global Affairs with Greg Ayres </w:t>
                      </w:r>
                    </w:p>
                  </w:txbxContent>
                </v:textbox>
                <w10:wrap type="square"/>
              </v:shape>
            </w:pict>
          </mc:Fallback>
        </mc:AlternateContent>
      </w:r>
      <w:r w:rsidR="005337DC">
        <w:rPr>
          <w:noProof/>
        </w:rPr>
        <w:drawing>
          <wp:inline distT="0" distB="0" distL="0" distR="0" wp14:anchorId="1350D670" wp14:editId="4FA5E33D">
            <wp:extent cx="6736080" cy="2857500"/>
            <wp:effectExtent l="19050" t="19050" r="26670" b="19050"/>
            <wp:docPr id="4" name="Chart 4">
              <a:extLst xmlns:a="http://schemas.openxmlformats.org/drawingml/2006/main">
                <a:ext uri="{FF2B5EF4-FFF2-40B4-BE49-F238E27FC236}">
                  <a16:creationId xmlns:a16="http://schemas.microsoft.com/office/drawing/2014/main" id="{086DC2DD-5C52-4457-B013-5FFEE769C8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58EB159" w14:textId="7C6BDAAC" w:rsidR="005337DC" w:rsidRDefault="005337DC" w:rsidP="003F7984">
      <w:pPr>
        <w:tabs>
          <w:tab w:val="left" w:pos="3000"/>
        </w:tabs>
      </w:pPr>
    </w:p>
    <w:p w14:paraId="50B1038D" w14:textId="77777777" w:rsidR="00674A54" w:rsidRDefault="00674A54" w:rsidP="003F7984">
      <w:pPr>
        <w:tabs>
          <w:tab w:val="left" w:pos="3000"/>
        </w:tabs>
      </w:pPr>
    </w:p>
    <w:p w14:paraId="293E808B" w14:textId="34FDD455" w:rsidR="003177A3" w:rsidRPr="002C213D" w:rsidRDefault="002C213D" w:rsidP="003F7984">
      <w:pPr>
        <w:tabs>
          <w:tab w:val="left" w:pos="3000"/>
        </w:tabs>
        <w:rPr>
          <w:rFonts w:ascii="Times New Roman" w:hAnsi="Times New Roman" w:cs="Times New Roman"/>
          <w:sz w:val="24"/>
          <w:szCs w:val="24"/>
        </w:rPr>
      </w:pPr>
      <w:r>
        <w:rPr>
          <w:rFonts w:ascii="Times New Roman" w:hAnsi="Times New Roman" w:cs="Times New Roman"/>
          <w:sz w:val="24"/>
          <w:szCs w:val="24"/>
        </w:rPr>
        <w:t xml:space="preserve">     </w:t>
      </w:r>
      <w:r w:rsidR="00FC75AF" w:rsidRPr="002C213D">
        <w:rPr>
          <w:rFonts w:ascii="Times New Roman" w:hAnsi="Times New Roman" w:cs="Times New Roman"/>
          <w:sz w:val="24"/>
          <w:szCs w:val="24"/>
        </w:rPr>
        <w:t>Italy lost more than 2% of its forested lands to fire in 2007, but voter turnout fell</w:t>
      </w:r>
      <w:r w:rsidR="00C447AD">
        <w:rPr>
          <w:rFonts w:ascii="Times New Roman" w:hAnsi="Times New Roman" w:cs="Times New Roman"/>
          <w:sz w:val="24"/>
          <w:szCs w:val="24"/>
        </w:rPr>
        <w:t xml:space="preserve"> between</w:t>
      </w:r>
      <w:r w:rsidR="00FC75AF" w:rsidRPr="002C213D">
        <w:rPr>
          <w:rFonts w:ascii="Times New Roman" w:hAnsi="Times New Roman" w:cs="Times New Roman"/>
          <w:sz w:val="24"/>
          <w:szCs w:val="24"/>
        </w:rPr>
        <w:t xml:space="preserve"> the surrounding elections. The significant spikes in forest fires: 2007, 2012, and 2017 were only once followed by voter turnout above the trendline. Forest fires neared the expected average in the years preceding the 2006 election, </w:t>
      </w:r>
      <w:r w:rsidR="00C447AD">
        <w:rPr>
          <w:rFonts w:ascii="Times New Roman" w:hAnsi="Times New Roman" w:cs="Times New Roman"/>
          <w:sz w:val="24"/>
          <w:szCs w:val="24"/>
        </w:rPr>
        <w:t xml:space="preserve">while </w:t>
      </w:r>
      <w:r w:rsidR="00FC75AF" w:rsidRPr="002C213D">
        <w:rPr>
          <w:rFonts w:ascii="Times New Roman" w:hAnsi="Times New Roman" w:cs="Times New Roman"/>
          <w:sz w:val="24"/>
          <w:szCs w:val="24"/>
        </w:rPr>
        <w:t>voter turnout came in above the trendline</w:t>
      </w:r>
      <w:r w:rsidR="00C447AD">
        <w:rPr>
          <w:rFonts w:ascii="Times New Roman" w:hAnsi="Times New Roman" w:cs="Times New Roman"/>
          <w:sz w:val="24"/>
          <w:szCs w:val="24"/>
        </w:rPr>
        <w:t>,</w:t>
      </w:r>
      <w:r w:rsidR="003177A3" w:rsidRPr="002C213D">
        <w:rPr>
          <w:rFonts w:ascii="Times New Roman" w:hAnsi="Times New Roman" w:cs="Times New Roman"/>
          <w:sz w:val="24"/>
          <w:szCs w:val="24"/>
        </w:rPr>
        <w:t xml:space="preserve"> despite a decline in forest fires. </w:t>
      </w:r>
    </w:p>
    <w:p w14:paraId="2308DF79" w14:textId="3968F04C" w:rsidR="002C213D" w:rsidRPr="002C213D" w:rsidRDefault="002C213D" w:rsidP="003F7984">
      <w:pPr>
        <w:tabs>
          <w:tab w:val="left" w:pos="3000"/>
        </w:tabs>
        <w:rPr>
          <w:rFonts w:ascii="Times New Roman" w:hAnsi="Times New Roman" w:cs="Times New Roman"/>
          <w:sz w:val="24"/>
          <w:szCs w:val="24"/>
        </w:rPr>
      </w:pPr>
      <w:r>
        <w:rPr>
          <w:rFonts w:ascii="Times New Roman" w:hAnsi="Times New Roman" w:cs="Times New Roman"/>
          <w:sz w:val="24"/>
          <w:szCs w:val="24"/>
        </w:rPr>
        <w:t xml:space="preserve">     </w:t>
      </w:r>
      <w:r w:rsidR="00FC75AF" w:rsidRPr="002C213D">
        <w:rPr>
          <w:rFonts w:ascii="Times New Roman" w:hAnsi="Times New Roman" w:cs="Times New Roman"/>
          <w:sz w:val="24"/>
          <w:szCs w:val="24"/>
        </w:rPr>
        <w:t xml:space="preserve">Italy has historically </w:t>
      </w:r>
      <w:r w:rsidR="00C447AD">
        <w:rPr>
          <w:rFonts w:ascii="Times New Roman" w:hAnsi="Times New Roman" w:cs="Times New Roman"/>
          <w:sz w:val="24"/>
          <w:szCs w:val="24"/>
        </w:rPr>
        <w:t>experienced less risk from</w:t>
      </w:r>
      <w:r w:rsidR="00FC75AF" w:rsidRPr="002C213D">
        <w:rPr>
          <w:rFonts w:ascii="Times New Roman" w:hAnsi="Times New Roman" w:cs="Times New Roman"/>
          <w:sz w:val="24"/>
          <w:szCs w:val="24"/>
        </w:rPr>
        <w:t xml:space="preserve"> forest fires</w:t>
      </w:r>
      <w:r w:rsidR="00C447AD">
        <w:rPr>
          <w:rFonts w:ascii="Times New Roman" w:hAnsi="Times New Roman" w:cs="Times New Roman"/>
          <w:sz w:val="24"/>
          <w:szCs w:val="24"/>
        </w:rPr>
        <w:t>,</w:t>
      </w:r>
      <w:r w:rsidR="00FC75AF" w:rsidRPr="002C213D">
        <w:rPr>
          <w:rFonts w:ascii="Times New Roman" w:hAnsi="Times New Roman" w:cs="Times New Roman"/>
          <w:sz w:val="24"/>
          <w:szCs w:val="24"/>
        </w:rPr>
        <w:t xml:space="preserve"> in comparison to Greece and Portugal. With fires on average only consuming only .78% of forested lands per year, the level of impact forest fires </w:t>
      </w:r>
      <w:r w:rsidR="00C447AD" w:rsidRPr="002C213D">
        <w:rPr>
          <w:rFonts w:ascii="Times New Roman" w:hAnsi="Times New Roman" w:cs="Times New Roman"/>
          <w:sz w:val="24"/>
          <w:szCs w:val="24"/>
        </w:rPr>
        <w:t>ha</w:t>
      </w:r>
      <w:r w:rsidR="00C447AD">
        <w:rPr>
          <w:rFonts w:ascii="Times New Roman" w:hAnsi="Times New Roman" w:cs="Times New Roman"/>
          <w:sz w:val="24"/>
          <w:szCs w:val="24"/>
        </w:rPr>
        <w:t>s</w:t>
      </w:r>
      <w:r w:rsidR="00FC75AF" w:rsidRPr="002C213D">
        <w:rPr>
          <w:rFonts w:ascii="Times New Roman" w:hAnsi="Times New Roman" w:cs="Times New Roman"/>
          <w:sz w:val="24"/>
          <w:szCs w:val="24"/>
        </w:rPr>
        <w:t xml:space="preserve"> on voter turnout and political will for DRR policies is likely to be muted. Italy boasts the highest voter turnout rate amongst the studied nations and mitigation of fires to below 1% of forested lands is admirable.  </w:t>
      </w:r>
    </w:p>
    <w:p w14:paraId="7C28B128" w14:textId="787BAD2D" w:rsidR="00FC75AF" w:rsidRDefault="00FC75AF" w:rsidP="003F7984">
      <w:pPr>
        <w:tabs>
          <w:tab w:val="left" w:pos="3000"/>
        </w:tabs>
      </w:pPr>
      <w:r>
        <w:rPr>
          <w:noProof/>
        </w:rPr>
        <mc:AlternateContent>
          <mc:Choice Requires="wps">
            <w:drawing>
              <wp:anchor distT="0" distB="0" distL="114300" distR="114300" simplePos="0" relativeHeight="251669504" behindDoc="0" locked="0" layoutInCell="1" allowOverlap="1" wp14:anchorId="0776E8CC" wp14:editId="46D8084B">
                <wp:simplePos x="0" y="0"/>
                <wp:positionH relativeFrom="column">
                  <wp:posOffset>5356860</wp:posOffset>
                </wp:positionH>
                <wp:positionV relativeFrom="paragraph">
                  <wp:posOffset>599440</wp:posOffset>
                </wp:positionV>
                <wp:extent cx="792480" cy="1303020"/>
                <wp:effectExtent l="0" t="0" r="26670" b="11430"/>
                <wp:wrapNone/>
                <wp:docPr id="11" name="Oval 11"/>
                <wp:cNvGraphicFramePr/>
                <a:graphic xmlns:a="http://schemas.openxmlformats.org/drawingml/2006/main">
                  <a:graphicData uri="http://schemas.microsoft.com/office/word/2010/wordprocessingShape">
                    <wps:wsp>
                      <wps:cNvSpPr/>
                      <wps:spPr>
                        <a:xfrm>
                          <a:off x="0" y="0"/>
                          <a:ext cx="792480" cy="130302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041E991" id="Oval 11" o:spid="_x0000_s1026" style="position:absolute;margin-left:421.8pt;margin-top:47.2pt;width:62.4pt;height:102.6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" filled="f" strokecolor="#1f3763 [1604]" strokeweight="1pt">
                <v:stroke joinstyle="miter"/>
              </v:oval>
            </w:pict>
          </mc:Fallback>
        </mc:AlternateContent>
      </w:r>
      <w:r>
        <w:rPr>
          <w:noProof/>
        </w:rPr>
        <w:drawing>
          <wp:inline distT="0" distB="0" distL="0" distR="0" wp14:anchorId="7781B105" wp14:editId="4F30B36C">
            <wp:extent cx="6861810" cy="3143250"/>
            <wp:effectExtent l="19050" t="19050" r="15240" b="19050"/>
            <wp:docPr id="10" name="Chart 10">
              <a:extLst xmlns:a="http://schemas.openxmlformats.org/drawingml/2006/main">
                <a:ext uri="{FF2B5EF4-FFF2-40B4-BE49-F238E27FC236}">
                  <a16:creationId xmlns:a16="http://schemas.microsoft.com/office/drawing/2014/main" id="{451DE66E-C214-4D5D-8D99-FB272D9726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A2DD3BA" w14:textId="234BE5CE" w:rsidR="003177A3" w:rsidRDefault="00674A54" w:rsidP="003F7984">
      <w:pPr>
        <w:tabs>
          <w:tab w:val="left" w:pos="3000"/>
        </w:tabs>
      </w:pPr>
      <w:r w:rsidRPr="002C213D">
        <w:rPr>
          <w:rFonts w:ascii="Times New Roman" w:hAnsi="Times New Roman" w:cs="Times New Roman"/>
          <w:noProof/>
          <w:sz w:val="24"/>
          <w:szCs w:val="24"/>
        </w:rPr>
        <mc:AlternateContent>
          <mc:Choice Requires="wps">
            <w:drawing>
              <wp:anchor distT="45720" distB="45720" distL="114300" distR="114300" simplePos="0" relativeHeight="251671552" behindDoc="0" locked="0" layoutInCell="1" allowOverlap="1" wp14:anchorId="60FE39BD" wp14:editId="04780F82">
                <wp:simplePos x="0" y="0"/>
                <wp:positionH relativeFrom="column">
                  <wp:posOffset>4655820</wp:posOffset>
                </wp:positionH>
                <wp:positionV relativeFrom="paragraph">
                  <wp:posOffset>-38100</wp:posOffset>
                </wp:positionV>
                <wp:extent cx="2468880" cy="289560"/>
                <wp:effectExtent l="0" t="0" r="26670" b="1524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289560"/>
                        </a:xfrm>
                        <a:prstGeom prst="rect">
                          <a:avLst/>
                        </a:prstGeom>
                        <a:solidFill>
                          <a:srgbClr val="FFFFFF"/>
                        </a:solidFill>
                        <a:ln w="9525">
                          <a:solidFill>
                            <a:srgbClr val="000000"/>
                          </a:solidFill>
                          <a:miter lim="800000"/>
                          <a:headEnd/>
                          <a:tailEnd/>
                        </a:ln>
                      </wps:spPr>
                      <wps:txbx>
                        <w:txbxContent>
                          <w:p w14:paraId="4E365716" w14:textId="26C8BD85" w:rsidR="003177A3" w:rsidRDefault="003177A3">
                            <w:r>
                              <w:t xml:space="preserve">Figure 5: Global Affairs with Greg Ayres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FE39BD" id="_x0000_s1030" type="#_x0000_t202" style="position:absolute;margin-left:366.6pt;margin-top:-3pt;width:194.4pt;height:22.8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">
                <v:textbox>
                  <w:txbxContent>
                    <w:p w14:paraId="4E365716" w14:textId="26C8BD85" w:rsidR="003177A3" w:rsidRDefault="003177A3">
                      <w:r>
                        <w:t xml:space="preserve">Figure 5: Global Affairs with Greg Ayres </w:t>
                      </w:r>
                    </w:p>
                  </w:txbxContent>
                </v:textbox>
                <w10:wrap type="square"/>
              </v:shape>
            </w:pict>
          </mc:Fallback>
        </mc:AlternateContent>
      </w:r>
    </w:p>
    <w:p w14:paraId="075062DE" w14:textId="29C6D582" w:rsidR="0002240B" w:rsidRPr="002C213D" w:rsidRDefault="00556A45" w:rsidP="0002240B">
      <w:pPr>
        <w:tabs>
          <w:tab w:val="left" w:pos="1632"/>
        </w:tabs>
        <w:rPr>
          <w:rFonts w:ascii="Times New Roman" w:hAnsi="Times New Roman" w:cs="Times New Roman"/>
          <w:sz w:val="24"/>
          <w:szCs w:val="24"/>
        </w:rPr>
      </w:pPr>
      <w:r>
        <w:rPr>
          <w:noProof/>
        </w:rPr>
        <w:lastRenderedPageBreak/>
        <mc:AlternateContent>
          <mc:Choice Requires="wps">
            <w:drawing>
              <wp:anchor distT="45720" distB="45720" distL="114300" distR="114300" simplePos="0" relativeHeight="251673600" behindDoc="0" locked="0" layoutInCell="1" allowOverlap="1" wp14:anchorId="5554BCCD" wp14:editId="1EBBF549">
                <wp:simplePos x="0" y="0"/>
                <wp:positionH relativeFrom="column">
                  <wp:posOffset>4640580</wp:posOffset>
                </wp:positionH>
                <wp:positionV relativeFrom="paragraph">
                  <wp:posOffset>1413510</wp:posOffset>
                </wp:positionV>
                <wp:extent cx="2468880" cy="304800"/>
                <wp:effectExtent l="0" t="0" r="26670" b="1905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304800"/>
                        </a:xfrm>
                        <a:prstGeom prst="rect">
                          <a:avLst/>
                        </a:prstGeom>
                        <a:solidFill>
                          <a:srgbClr val="FFFFFF"/>
                        </a:solidFill>
                        <a:ln w="9525">
                          <a:solidFill>
                            <a:srgbClr val="000000"/>
                          </a:solidFill>
                          <a:miter lim="800000"/>
                          <a:headEnd/>
                          <a:tailEnd/>
                        </a:ln>
                      </wps:spPr>
                      <wps:txbx>
                        <w:txbxContent>
                          <w:p w14:paraId="250E9690" w14:textId="2DE541F0" w:rsidR="00556A45" w:rsidRDefault="00556A45" w:rsidP="00556A45">
                            <w:r>
                              <w:t>Figure 6: Global Affairs with Greg Ayres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54BCCD" id="_x0000_s1031" type="#_x0000_t202" style="position:absolute;margin-left:365.4pt;margin-top:111.3pt;width:194.4pt;height:24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">
                <v:textbox>
                  <w:txbxContent>
                    <w:p w14:paraId="250E9690" w14:textId="2DE541F0" w:rsidR="00556A45" w:rsidRDefault="00556A45" w:rsidP="00556A45">
                      <w:r>
                        <w:t>Figure 6: Global Affairs with Greg Ayres</w:t>
                      </w:r>
                    </w:p>
                  </w:txbxContent>
                </v:textbox>
                <w10:wrap type="square"/>
              </v:shape>
            </w:pict>
          </mc:Fallback>
        </mc:AlternateContent>
      </w:r>
      <w:r w:rsidR="0002240B">
        <w:t xml:space="preserve">            </w:t>
      </w:r>
      <w:r w:rsidR="0002240B" w:rsidRPr="002C213D">
        <w:rPr>
          <w:rFonts w:ascii="Times New Roman" w:hAnsi="Times New Roman" w:cs="Times New Roman"/>
          <w:sz w:val="24"/>
          <w:szCs w:val="24"/>
        </w:rPr>
        <w:t xml:space="preserve">France and Spain experience wildfires </w:t>
      </w:r>
      <w:r w:rsidR="00C447AD">
        <w:rPr>
          <w:rFonts w:ascii="Times New Roman" w:hAnsi="Times New Roman" w:cs="Times New Roman"/>
          <w:sz w:val="24"/>
          <w:szCs w:val="24"/>
        </w:rPr>
        <w:t>to</w:t>
      </w:r>
      <w:r w:rsidR="0002240B" w:rsidRPr="002C213D">
        <w:rPr>
          <w:rFonts w:ascii="Times New Roman" w:hAnsi="Times New Roman" w:cs="Times New Roman"/>
          <w:sz w:val="24"/>
          <w:szCs w:val="24"/>
        </w:rPr>
        <w:t xml:space="preserve"> a significantly smaller degree, compared to Portugal, Greece, and Italy.</w:t>
      </w:r>
      <w:r w:rsidR="009F34EF" w:rsidRPr="002C213D">
        <w:rPr>
          <w:rFonts w:ascii="Times New Roman" w:hAnsi="Times New Roman" w:cs="Times New Roman"/>
          <w:sz w:val="24"/>
          <w:szCs w:val="24"/>
        </w:rPr>
        <w:t xml:space="preserve"> </w:t>
      </w:r>
      <w:r w:rsidR="0002240B" w:rsidRPr="002C213D">
        <w:rPr>
          <w:rFonts w:ascii="Times New Roman" w:hAnsi="Times New Roman" w:cs="Times New Roman"/>
          <w:sz w:val="24"/>
          <w:szCs w:val="24"/>
        </w:rPr>
        <w:t>Accordingly, inferences from voter turnout in the aftermath of significant forest fires are more tenuous. Bluntly, forest fires are a far lower priority for both voters and politicians, as a combi</w:t>
      </w:r>
      <w:r w:rsidR="009F34EF" w:rsidRPr="002C213D">
        <w:rPr>
          <w:rFonts w:ascii="Times New Roman" w:hAnsi="Times New Roman" w:cs="Times New Roman"/>
          <w:sz w:val="24"/>
          <w:szCs w:val="24"/>
        </w:rPr>
        <w:t xml:space="preserve">nation of environmental and climactic factors </w:t>
      </w:r>
      <w:r w:rsidR="00C447AD">
        <w:rPr>
          <w:rFonts w:ascii="Times New Roman" w:hAnsi="Times New Roman" w:cs="Times New Roman"/>
          <w:sz w:val="24"/>
          <w:szCs w:val="24"/>
        </w:rPr>
        <w:t xml:space="preserve">have </w:t>
      </w:r>
      <w:r w:rsidR="009F34EF" w:rsidRPr="002C213D">
        <w:rPr>
          <w:rFonts w:ascii="Times New Roman" w:hAnsi="Times New Roman" w:cs="Times New Roman"/>
          <w:sz w:val="24"/>
          <w:szCs w:val="24"/>
        </w:rPr>
        <w:t>greatly reduce</w:t>
      </w:r>
      <w:r w:rsidR="00C447AD">
        <w:rPr>
          <w:rFonts w:ascii="Times New Roman" w:hAnsi="Times New Roman" w:cs="Times New Roman"/>
          <w:sz w:val="24"/>
          <w:szCs w:val="24"/>
        </w:rPr>
        <w:t>d</w:t>
      </w:r>
      <w:r w:rsidR="009F34EF" w:rsidRPr="002C213D">
        <w:rPr>
          <w:rFonts w:ascii="Times New Roman" w:hAnsi="Times New Roman" w:cs="Times New Roman"/>
          <w:sz w:val="24"/>
          <w:szCs w:val="24"/>
        </w:rPr>
        <w:t xml:space="preserve"> risk. As examination of voter turnout and forest fires in France yields no significant evidence to support increased political participation</w:t>
      </w:r>
      <w:r w:rsidR="00C447AD">
        <w:rPr>
          <w:rFonts w:ascii="Times New Roman" w:hAnsi="Times New Roman" w:cs="Times New Roman"/>
          <w:sz w:val="24"/>
          <w:szCs w:val="24"/>
        </w:rPr>
        <w:t>,</w:t>
      </w:r>
      <w:r w:rsidR="009F34EF" w:rsidRPr="002C213D">
        <w:rPr>
          <w:rFonts w:ascii="Times New Roman" w:hAnsi="Times New Roman" w:cs="Times New Roman"/>
          <w:sz w:val="24"/>
          <w:szCs w:val="24"/>
        </w:rPr>
        <w:t xml:space="preserve"> or political will</w:t>
      </w:r>
      <w:r w:rsidR="00C447AD">
        <w:rPr>
          <w:rFonts w:ascii="Times New Roman" w:hAnsi="Times New Roman" w:cs="Times New Roman"/>
          <w:sz w:val="24"/>
          <w:szCs w:val="24"/>
        </w:rPr>
        <w:t>,</w:t>
      </w:r>
      <w:r w:rsidR="009F34EF" w:rsidRPr="002C213D">
        <w:rPr>
          <w:rFonts w:ascii="Times New Roman" w:hAnsi="Times New Roman" w:cs="Times New Roman"/>
          <w:sz w:val="24"/>
          <w:szCs w:val="24"/>
        </w:rPr>
        <w:t xml:space="preserve"> following proportionally extensive forest fires. France’s most expansive fires burned less than .5% of the total forested area in 2003. Furthermore, the only voter turnout above the trendline, 2012, occurred after years of relatively small fires. </w:t>
      </w:r>
    </w:p>
    <w:p w14:paraId="6EA07495" w14:textId="2C0E8907" w:rsidR="0002240B" w:rsidRDefault="009F34EF" w:rsidP="0002240B">
      <w:pPr>
        <w:tabs>
          <w:tab w:val="left" w:pos="1632"/>
        </w:tabs>
      </w:pPr>
      <w:r>
        <w:rPr>
          <w:noProof/>
        </w:rPr>
        <w:drawing>
          <wp:inline distT="0" distB="0" distL="0" distR="0" wp14:anchorId="434CE37E" wp14:editId="25102F32">
            <wp:extent cx="6960870" cy="2659380"/>
            <wp:effectExtent l="19050" t="19050" r="11430" b="26670"/>
            <wp:docPr id="13" name="Chart 13">
              <a:extLst xmlns:a="http://schemas.openxmlformats.org/drawingml/2006/main">
                <a:ext uri="{FF2B5EF4-FFF2-40B4-BE49-F238E27FC236}">
                  <a16:creationId xmlns:a16="http://schemas.microsoft.com/office/drawing/2014/main" id="{5DECF484-F92A-48FE-8A7F-EDE1992134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6931A88" w14:textId="3B1832D0" w:rsidR="00322E6C" w:rsidRPr="002442AB" w:rsidRDefault="00322E6C" w:rsidP="0002240B">
      <w:pPr>
        <w:tabs>
          <w:tab w:val="left" w:pos="1632"/>
        </w:tabs>
        <w:rPr>
          <w:rFonts w:ascii="Times New Roman" w:hAnsi="Times New Roman" w:cs="Times New Roman"/>
          <w:sz w:val="24"/>
          <w:szCs w:val="24"/>
        </w:rPr>
      </w:pPr>
      <w:r>
        <w:rPr>
          <w:noProof/>
        </w:rPr>
        <mc:AlternateContent>
          <mc:Choice Requires="wps">
            <w:drawing>
              <wp:anchor distT="45720" distB="45720" distL="114300" distR="114300" simplePos="0" relativeHeight="251675648" behindDoc="0" locked="0" layoutInCell="1" allowOverlap="1" wp14:anchorId="77AA88B8" wp14:editId="47843DD5">
                <wp:simplePos x="0" y="0"/>
                <wp:positionH relativeFrom="column">
                  <wp:posOffset>4518660</wp:posOffset>
                </wp:positionH>
                <wp:positionV relativeFrom="paragraph">
                  <wp:posOffset>995680</wp:posOffset>
                </wp:positionV>
                <wp:extent cx="2545080" cy="304800"/>
                <wp:effectExtent l="0" t="0" r="2667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5080" cy="304800"/>
                        </a:xfrm>
                        <a:prstGeom prst="rect">
                          <a:avLst/>
                        </a:prstGeom>
                        <a:solidFill>
                          <a:srgbClr val="FFFFFF"/>
                        </a:solidFill>
                        <a:ln w="9525">
                          <a:solidFill>
                            <a:srgbClr val="000000"/>
                          </a:solidFill>
                          <a:miter lim="800000"/>
                          <a:headEnd/>
                          <a:tailEnd/>
                        </a:ln>
                      </wps:spPr>
                      <wps:txbx>
                        <w:txbxContent>
                          <w:p w14:paraId="546D7F03" w14:textId="67BC7E90" w:rsidR="00322E6C" w:rsidRDefault="00322E6C" w:rsidP="00322E6C">
                            <w:r>
                              <w:t>Figure 7: Global Affairs with Greg Ayres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AA88B8" id="_x0000_s1032" type="#_x0000_t202" style="position:absolute;margin-left:355.8pt;margin-top:78.4pt;width:200.4pt;height:24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">
                <v:textbox>
                  <w:txbxContent>
                    <w:p w14:paraId="546D7F03" w14:textId="67BC7E90" w:rsidR="00322E6C" w:rsidRDefault="00322E6C" w:rsidP="00322E6C">
                      <w:r>
                        <w:t>Figure 7: Global Affairs with Greg Ayres</w:t>
                      </w:r>
                    </w:p>
                  </w:txbxContent>
                </v:textbox>
                <w10:wrap type="square"/>
              </v:shape>
            </w:pict>
          </mc:Fallback>
        </mc:AlternateContent>
      </w:r>
      <w:r w:rsidR="009F34EF">
        <w:t xml:space="preserve">     </w:t>
      </w:r>
      <w:r w:rsidR="009F34EF" w:rsidRPr="002C213D">
        <w:rPr>
          <w:rFonts w:ascii="Times New Roman" w:hAnsi="Times New Roman" w:cs="Times New Roman"/>
          <w:sz w:val="24"/>
          <w:szCs w:val="24"/>
        </w:rPr>
        <w:t>Spain has experienced sporadic forest fires, with higher levels of deviation on a yearly basis. While the most significant fire burned 1.24% of forested area</w:t>
      </w:r>
      <w:r w:rsidR="00C447AD">
        <w:rPr>
          <w:rFonts w:ascii="Times New Roman" w:hAnsi="Times New Roman" w:cs="Times New Roman"/>
          <w:sz w:val="24"/>
          <w:szCs w:val="24"/>
        </w:rPr>
        <w:t>,</w:t>
      </w:r>
      <w:r w:rsidR="009F34EF" w:rsidRPr="002C213D">
        <w:rPr>
          <w:rFonts w:ascii="Times New Roman" w:hAnsi="Times New Roman" w:cs="Times New Roman"/>
          <w:sz w:val="24"/>
          <w:szCs w:val="24"/>
        </w:rPr>
        <w:t xml:space="preserve"> the</w:t>
      </w:r>
      <w:r w:rsidR="00C447AD">
        <w:rPr>
          <w:rFonts w:ascii="Times New Roman" w:hAnsi="Times New Roman" w:cs="Times New Roman"/>
          <w:sz w:val="24"/>
          <w:szCs w:val="24"/>
        </w:rPr>
        <w:t xml:space="preserve"> yearly</w:t>
      </w:r>
      <w:r w:rsidR="009F34EF" w:rsidRPr="002C213D">
        <w:rPr>
          <w:rFonts w:ascii="Times New Roman" w:hAnsi="Times New Roman" w:cs="Times New Roman"/>
          <w:sz w:val="24"/>
          <w:szCs w:val="24"/>
        </w:rPr>
        <w:t xml:space="preserve"> average is .61%. The largest fires</w:t>
      </w:r>
      <w:r w:rsidR="00C447AD">
        <w:rPr>
          <w:rFonts w:ascii="Times New Roman" w:hAnsi="Times New Roman" w:cs="Times New Roman"/>
          <w:sz w:val="24"/>
          <w:szCs w:val="24"/>
        </w:rPr>
        <w:t>,</w:t>
      </w:r>
      <w:r w:rsidR="009F34EF" w:rsidRPr="002C213D">
        <w:rPr>
          <w:rFonts w:ascii="Times New Roman" w:hAnsi="Times New Roman" w:cs="Times New Roman"/>
          <w:sz w:val="24"/>
          <w:szCs w:val="24"/>
        </w:rPr>
        <w:t xml:space="preserve"> of 2005 and 2012</w:t>
      </w:r>
      <w:r w:rsidR="00C447AD">
        <w:rPr>
          <w:rFonts w:ascii="Times New Roman" w:hAnsi="Times New Roman" w:cs="Times New Roman"/>
          <w:sz w:val="24"/>
          <w:szCs w:val="24"/>
        </w:rPr>
        <w:t>,</w:t>
      </w:r>
      <w:r w:rsidR="009F34EF" w:rsidRPr="002C213D">
        <w:rPr>
          <w:rFonts w:ascii="Times New Roman" w:hAnsi="Times New Roman" w:cs="Times New Roman"/>
          <w:sz w:val="24"/>
          <w:szCs w:val="24"/>
        </w:rPr>
        <w:t xml:space="preserve"> occurred 3 years before their next elections, reducing the memory and potential for political impact. Spain experienced relatively stable voter turnout and proportionally sporadic forest fires, making statistical analysis difficult. Spain provides no significant evidence of forest fires directly impacting voter participation or political will. </w:t>
      </w:r>
    </w:p>
    <w:p w14:paraId="076C1282" w14:textId="7F2BDD70" w:rsidR="009F34EF" w:rsidRDefault="009F34EF" w:rsidP="0002240B">
      <w:pPr>
        <w:tabs>
          <w:tab w:val="left" w:pos="1632"/>
        </w:tabs>
      </w:pPr>
      <w:r>
        <w:rPr>
          <w:noProof/>
        </w:rPr>
        <w:drawing>
          <wp:inline distT="0" distB="0" distL="0" distR="0" wp14:anchorId="1CAE10B4" wp14:editId="74A149C9">
            <wp:extent cx="7006590" cy="3105150"/>
            <wp:effectExtent l="19050" t="19050" r="22860" b="19050"/>
            <wp:docPr id="14" name="Chart 14">
              <a:extLst xmlns:a="http://schemas.openxmlformats.org/drawingml/2006/main">
                <a:ext uri="{FF2B5EF4-FFF2-40B4-BE49-F238E27FC236}">
                  <a16:creationId xmlns:a16="http://schemas.microsoft.com/office/drawing/2014/main" id="{B11BACFA-957A-411C-851B-3DA0BA23557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BE548D5" w14:textId="7FF5D2DD" w:rsidR="009F34EF" w:rsidRDefault="00322E6C" w:rsidP="00322E6C">
      <w:pPr>
        <w:tabs>
          <w:tab w:val="left" w:pos="1632"/>
        </w:tabs>
        <w:jc w:val="right"/>
      </w:pPr>
      <w:r>
        <w:rPr>
          <w:noProof/>
        </w:rPr>
        <w:lastRenderedPageBreak/>
        <mc:AlternateContent>
          <mc:Choice Requires="wps">
            <w:drawing>
              <wp:anchor distT="45720" distB="45720" distL="114300" distR="114300" simplePos="0" relativeHeight="251677696" behindDoc="0" locked="0" layoutInCell="1" allowOverlap="1" wp14:anchorId="777601DA" wp14:editId="50525E36">
                <wp:simplePos x="0" y="0"/>
                <wp:positionH relativeFrom="column">
                  <wp:posOffset>4632960</wp:posOffset>
                </wp:positionH>
                <wp:positionV relativeFrom="paragraph">
                  <wp:posOffset>0</wp:posOffset>
                </wp:positionV>
                <wp:extent cx="2461260" cy="297180"/>
                <wp:effectExtent l="0" t="0" r="15240" b="2667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1260" cy="297180"/>
                        </a:xfrm>
                        <a:prstGeom prst="rect">
                          <a:avLst/>
                        </a:prstGeom>
                        <a:solidFill>
                          <a:srgbClr val="FFFFFF"/>
                        </a:solidFill>
                        <a:ln w="9525">
                          <a:solidFill>
                            <a:srgbClr val="000000"/>
                          </a:solidFill>
                          <a:miter lim="800000"/>
                          <a:headEnd/>
                          <a:tailEnd/>
                        </a:ln>
                      </wps:spPr>
                      <wps:txbx>
                        <w:txbxContent>
                          <w:p w14:paraId="45504FF1" w14:textId="435A249C" w:rsidR="00322E6C" w:rsidRDefault="00322E6C" w:rsidP="00322E6C">
                            <w:r>
                              <w:t xml:space="preserve">Figure 8: Global Affairs with Greg Ayres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7601DA" id="_x0000_s1033" type="#_x0000_t202" style="position:absolute;left:0;text-align:left;margin-left:364.8pt;margin-top:0;width:193.8pt;height:23.4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">
                <v:textbox>
                  <w:txbxContent>
                    <w:p w14:paraId="45504FF1" w14:textId="435A249C" w:rsidR="00322E6C" w:rsidRDefault="00322E6C" w:rsidP="00322E6C">
                      <w:r>
                        <w:t xml:space="preserve">Figure 8: Global Affairs with Greg Ayres </w:t>
                      </w:r>
                    </w:p>
                  </w:txbxContent>
                </v:textbox>
                <w10:wrap type="square"/>
              </v:shape>
            </w:pict>
          </mc:Fallback>
        </mc:AlternateContent>
      </w:r>
    </w:p>
    <w:p w14:paraId="7087C651" w14:textId="63E058BD" w:rsidR="009F34EF" w:rsidRDefault="009F34EF" w:rsidP="00322E6C">
      <w:pPr>
        <w:tabs>
          <w:tab w:val="left" w:pos="2388"/>
        </w:tabs>
        <w:rPr>
          <w:noProof/>
        </w:rPr>
      </w:pPr>
      <w:r>
        <w:rPr>
          <w:noProof/>
        </w:rPr>
        <w:drawing>
          <wp:inline distT="0" distB="0" distL="0" distR="0" wp14:anchorId="05B6CBA9" wp14:editId="5BD1E823">
            <wp:extent cx="6842760" cy="2895600"/>
            <wp:effectExtent l="19050" t="19050" r="15240" b="19050"/>
            <wp:docPr id="15" name="Chart 15">
              <a:extLst xmlns:a="http://schemas.openxmlformats.org/drawingml/2006/main">
                <a:ext uri="{FF2B5EF4-FFF2-40B4-BE49-F238E27FC236}">
                  <a16:creationId xmlns:a16="http://schemas.microsoft.com/office/drawing/2014/main" id="{E594B603-A042-48E6-8502-AA849409CF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2EDFB83" w14:textId="2C191A49" w:rsidR="00CB54F7" w:rsidRPr="002C213D" w:rsidRDefault="009F34EF" w:rsidP="002C213D">
      <w:pPr>
        <w:ind w:firstLine="720"/>
        <w:rPr>
          <w:rFonts w:ascii="Times New Roman" w:hAnsi="Times New Roman" w:cs="Times New Roman"/>
          <w:sz w:val="24"/>
          <w:szCs w:val="24"/>
        </w:rPr>
      </w:pPr>
      <w:r w:rsidRPr="002C213D">
        <w:rPr>
          <w:rFonts w:ascii="Times New Roman" w:hAnsi="Times New Roman" w:cs="Times New Roman"/>
          <w:sz w:val="24"/>
          <w:szCs w:val="24"/>
        </w:rPr>
        <w:t xml:space="preserve">Portugal, Greece, and Italy experience the greatest risk </w:t>
      </w:r>
      <w:r w:rsidR="00CB54F7" w:rsidRPr="002C213D">
        <w:rPr>
          <w:rFonts w:ascii="Times New Roman" w:hAnsi="Times New Roman" w:cs="Times New Roman"/>
          <w:sz w:val="24"/>
          <w:szCs w:val="24"/>
        </w:rPr>
        <w:t>from forest fires. An examination of voter turnout shows limited nexus</w:t>
      </w:r>
      <w:r w:rsidR="00C447AD">
        <w:rPr>
          <w:rFonts w:ascii="Times New Roman" w:hAnsi="Times New Roman" w:cs="Times New Roman"/>
          <w:sz w:val="24"/>
          <w:szCs w:val="24"/>
        </w:rPr>
        <w:t xml:space="preserve"> between</w:t>
      </w:r>
      <w:r w:rsidR="00CB54F7" w:rsidRPr="002C213D">
        <w:rPr>
          <w:rFonts w:ascii="Times New Roman" w:hAnsi="Times New Roman" w:cs="Times New Roman"/>
          <w:sz w:val="24"/>
          <w:szCs w:val="24"/>
        </w:rPr>
        <w:t xml:space="preserve"> political participation and effective forestry management. Portugal, the most impacted nation, experienced low voter turnout throughout the studied period. However, Greece and Italy, both of which experienced numerous significant fires performed relatively well in terms of voter turnout, particularly in the beginning of the studied time-frame. Furthermore, France, the nation least impacted by forest fires, often exhibited the lowest voter turnout. </w:t>
      </w:r>
      <w:r w:rsidR="00517124">
        <w:rPr>
          <w:rFonts w:ascii="Times New Roman" w:hAnsi="Times New Roman" w:cs="Times New Roman"/>
          <w:sz w:val="24"/>
          <w:szCs w:val="24"/>
        </w:rPr>
        <w:t xml:space="preserve">                                         </w:t>
      </w:r>
      <w:r w:rsidR="00517124" w:rsidRPr="002442AB">
        <w:rPr>
          <w:rFonts w:ascii="Times New Roman" w:hAnsi="Times New Roman" w:cs="Times New Roman"/>
          <w:b/>
          <w:bCs/>
          <w:sz w:val="24"/>
          <w:szCs w:val="24"/>
        </w:rPr>
        <w:t>Figures: 9,10,11,12</w:t>
      </w:r>
    </w:p>
    <w:p w14:paraId="3C32912F" w14:textId="376C748E" w:rsidR="00CB54F7" w:rsidRDefault="00556A45" w:rsidP="009F34EF">
      <w:pPr>
        <w:rPr>
          <w:noProof/>
        </w:rPr>
      </w:pPr>
      <w:r>
        <w:rPr>
          <w:noProof/>
        </w:rPr>
        <w:drawing>
          <wp:inline distT="0" distB="0" distL="0" distR="0" wp14:anchorId="64CC30AA" wp14:editId="3B7C2471">
            <wp:extent cx="3383280" cy="2415540"/>
            <wp:effectExtent l="0" t="0" r="7620" b="3810"/>
            <wp:docPr id="16" name="Chart 16">
              <a:extLst xmlns:a="http://schemas.openxmlformats.org/drawingml/2006/main">
                <a:ext uri="{FF2B5EF4-FFF2-40B4-BE49-F238E27FC236}">
                  <a16:creationId xmlns:a16="http://schemas.microsoft.com/office/drawing/2014/main" id="{8B58364A-E880-42A6-BAED-3FC9328A893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556A45">
        <w:rPr>
          <w:noProof/>
        </w:rPr>
        <w:t xml:space="preserve"> </w:t>
      </w:r>
      <w:r>
        <w:rPr>
          <w:noProof/>
        </w:rPr>
        <w:drawing>
          <wp:inline distT="0" distB="0" distL="0" distR="0" wp14:anchorId="1B712BF3" wp14:editId="248EDDB7">
            <wp:extent cx="3421380" cy="2415540"/>
            <wp:effectExtent l="0" t="0" r="7620" b="3810"/>
            <wp:docPr id="17" name="Chart 17">
              <a:extLst xmlns:a="http://schemas.openxmlformats.org/drawingml/2006/main">
                <a:ext uri="{FF2B5EF4-FFF2-40B4-BE49-F238E27FC236}">
                  <a16:creationId xmlns:a16="http://schemas.microsoft.com/office/drawing/2014/main" id="{F5560149-ACFA-40EC-BAC3-669DCD2D47B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B7DAAD0" w14:textId="771D0C2F" w:rsidR="00556A45" w:rsidRDefault="00322E6C" w:rsidP="009F34EF">
      <w:pPr>
        <w:rPr>
          <w:noProof/>
        </w:rPr>
      </w:pPr>
      <w:r>
        <w:rPr>
          <w:noProof/>
        </w:rPr>
        <w:drawing>
          <wp:inline distT="0" distB="0" distL="0" distR="0" wp14:anchorId="6C9BEFD7" wp14:editId="17DC8715">
            <wp:extent cx="3371850" cy="1905000"/>
            <wp:effectExtent l="19050" t="19050" r="19050" b="19050"/>
            <wp:docPr id="21" name="Chart 21">
              <a:extLst xmlns:a="http://schemas.openxmlformats.org/drawingml/2006/main">
                <a:ext uri="{FF2B5EF4-FFF2-40B4-BE49-F238E27FC236}">
                  <a16:creationId xmlns:a16="http://schemas.microsoft.com/office/drawing/2014/main" id="{2C8E9B70-3F94-42E3-9EFD-6DAF887D7C4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322E6C">
        <w:rPr>
          <w:noProof/>
        </w:rPr>
        <w:t xml:space="preserve"> </w:t>
      </w:r>
      <w:r>
        <w:rPr>
          <w:noProof/>
        </w:rPr>
        <w:drawing>
          <wp:inline distT="0" distB="0" distL="0" distR="0" wp14:anchorId="7BACF047" wp14:editId="6FD5C615">
            <wp:extent cx="3371850" cy="1908810"/>
            <wp:effectExtent l="19050" t="19050" r="19050" b="15240"/>
            <wp:docPr id="22" name="Chart 22">
              <a:extLst xmlns:a="http://schemas.openxmlformats.org/drawingml/2006/main">
                <a:ext uri="{FF2B5EF4-FFF2-40B4-BE49-F238E27FC236}">
                  <a16:creationId xmlns:a16="http://schemas.microsoft.com/office/drawing/2014/main" id="{33C5B4F2-C7C2-43F2-899C-C4BFC5961B5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0697151" w14:textId="321F80FB" w:rsidR="00322E6C" w:rsidRDefault="00517124" w:rsidP="009F34EF">
      <w:r>
        <w:rPr>
          <w:noProof/>
        </w:rPr>
        <w:lastRenderedPageBreak/>
        <mc:AlternateContent>
          <mc:Choice Requires="wps">
            <w:drawing>
              <wp:anchor distT="45720" distB="45720" distL="114300" distR="114300" simplePos="0" relativeHeight="251681792" behindDoc="0" locked="0" layoutInCell="1" allowOverlap="1" wp14:anchorId="02CADE69" wp14:editId="19B19DFE">
                <wp:simplePos x="0" y="0"/>
                <wp:positionH relativeFrom="column">
                  <wp:posOffset>-182880</wp:posOffset>
                </wp:positionH>
                <wp:positionV relativeFrom="paragraph">
                  <wp:posOffset>2537460</wp:posOffset>
                </wp:positionV>
                <wp:extent cx="2552700" cy="281940"/>
                <wp:effectExtent l="0" t="0" r="19050" b="2286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0" cy="281940"/>
                        </a:xfrm>
                        <a:prstGeom prst="rect">
                          <a:avLst/>
                        </a:prstGeom>
                        <a:solidFill>
                          <a:srgbClr val="FFFFFF"/>
                        </a:solidFill>
                        <a:ln w="9525">
                          <a:solidFill>
                            <a:srgbClr val="000000"/>
                          </a:solidFill>
                          <a:miter lim="800000"/>
                          <a:headEnd/>
                          <a:tailEnd/>
                        </a:ln>
                      </wps:spPr>
                      <wps:txbx>
                        <w:txbxContent>
                          <w:p w14:paraId="7BC60BBD" w14:textId="77777777" w:rsidR="00517124" w:rsidRPr="00517124" w:rsidRDefault="00517124" w:rsidP="00517124">
                            <w:r>
                              <w:t>Figure 13: Global Affairs with Greg Ayres</w:t>
                            </w:r>
                          </w:p>
                          <w:p w14:paraId="48C8E031" w14:textId="6C044B34" w:rsidR="00517124" w:rsidRDefault="0051712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CADE69" id="_x0000_s1034" type="#_x0000_t202" style="position:absolute;margin-left:-14.4pt;margin-top:199.8pt;width:201pt;height:22.2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">
                <v:textbox>
                  <w:txbxContent>
                    <w:p w14:paraId="7BC60BBD" w14:textId="77777777" w:rsidR="00517124" w:rsidRPr="00517124" w:rsidRDefault="00517124" w:rsidP="00517124">
                      <w:r>
                        <w:t>Figure 13: Global Affairs with Greg Ayres</w:t>
                      </w:r>
                    </w:p>
                    <w:p w14:paraId="48C8E031" w14:textId="6C044B34" w:rsidR="00517124" w:rsidRDefault="00517124"/>
                  </w:txbxContent>
                </v:textbox>
                <w10:wrap type="square"/>
              </v:shape>
            </w:pict>
          </mc:Fallback>
        </mc:AlternateContent>
      </w:r>
      <w:r w:rsidR="002C213D">
        <w:rPr>
          <w:noProof/>
        </w:rPr>
        <mc:AlternateContent>
          <mc:Choice Requires="wps">
            <w:drawing>
              <wp:anchor distT="45720" distB="45720" distL="114300" distR="114300" simplePos="0" relativeHeight="251679744" behindDoc="0" locked="0" layoutInCell="1" allowOverlap="1" wp14:anchorId="05BE49E3" wp14:editId="6D7BBC5D">
                <wp:simplePos x="0" y="0"/>
                <wp:positionH relativeFrom="column">
                  <wp:posOffset>3718560</wp:posOffset>
                </wp:positionH>
                <wp:positionV relativeFrom="paragraph">
                  <wp:posOffset>68580</wp:posOffset>
                </wp:positionV>
                <wp:extent cx="2360930" cy="1404620"/>
                <wp:effectExtent l="0" t="0" r="22860" b="1143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728E84D9" w14:textId="54744F9D" w:rsidR="002C213D" w:rsidRPr="002C213D" w:rsidRDefault="002C213D">
                            <w:pPr>
                              <w:rPr>
                                <w:rFonts w:ascii="Times New Roman" w:hAnsi="Times New Roman" w:cs="Times New Roman"/>
                                <w:b/>
                                <w:bCs/>
                                <w:sz w:val="32"/>
                                <w:szCs w:val="32"/>
                              </w:rPr>
                            </w:pPr>
                            <w:r w:rsidRPr="002C213D">
                              <w:rPr>
                                <w:rFonts w:ascii="Times New Roman" w:hAnsi="Times New Roman" w:cs="Times New Roman"/>
                                <w:b/>
                                <w:bCs/>
                                <w:sz w:val="32"/>
                                <w:szCs w:val="32"/>
                              </w:rPr>
                              <w:t>Forest Fire Risk in Decline</w:t>
                            </w:r>
                          </w:p>
                          <w:p w14:paraId="29873262" w14:textId="4FD3267C" w:rsidR="002C213D" w:rsidRPr="002C213D" w:rsidRDefault="002C213D">
                            <w:pPr>
                              <w:rPr>
                                <w:rFonts w:ascii="Times New Roman" w:hAnsi="Times New Roman" w:cs="Times New Roman"/>
                                <w:sz w:val="24"/>
                                <w:szCs w:val="24"/>
                              </w:rPr>
                            </w:pPr>
                            <w:r w:rsidRPr="002C213D">
                              <w:rPr>
                                <w:rFonts w:ascii="Times New Roman" w:hAnsi="Times New Roman" w:cs="Times New Roman"/>
                                <w:sz w:val="24"/>
                                <w:szCs w:val="24"/>
                              </w:rPr>
                              <w:t xml:space="preserve">In each of the nations included in the study the trendline for (% of Forested Area Burned) </w:t>
                            </w:r>
                            <w:r w:rsidR="00C447AD">
                              <w:rPr>
                                <w:rFonts w:ascii="Times New Roman" w:hAnsi="Times New Roman" w:cs="Times New Roman"/>
                                <w:sz w:val="24"/>
                                <w:szCs w:val="24"/>
                              </w:rPr>
                              <w:t>has a</w:t>
                            </w:r>
                            <w:r w:rsidRPr="002C213D">
                              <w:rPr>
                                <w:rFonts w:ascii="Times New Roman" w:hAnsi="Times New Roman" w:cs="Times New Roman"/>
                                <w:sz w:val="24"/>
                                <w:szCs w:val="24"/>
                              </w:rPr>
                              <w:t xml:space="preserve"> negative</w:t>
                            </w:r>
                            <w:r w:rsidR="00C447AD">
                              <w:rPr>
                                <w:rFonts w:ascii="Times New Roman" w:hAnsi="Times New Roman" w:cs="Times New Roman"/>
                                <w:sz w:val="24"/>
                                <w:szCs w:val="24"/>
                              </w:rPr>
                              <w:t xml:space="preserve"> slope</w:t>
                            </w:r>
                            <w:r w:rsidRPr="002C213D">
                              <w:rPr>
                                <w:rFonts w:ascii="Times New Roman" w:hAnsi="Times New Roman" w:cs="Times New Roman"/>
                                <w:sz w:val="24"/>
                                <w:szCs w:val="24"/>
                              </w:rPr>
                              <w:t>. Indicating that the risk of forest fires is in decline. While climate change and environmental degradation increase the risk</w:t>
                            </w:r>
                            <w:r w:rsidR="00C447AD">
                              <w:rPr>
                                <w:rFonts w:ascii="Times New Roman" w:hAnsi="Times New Roman" w:cs="Times New Roman"/>
                                <w:sz w:val="24"/>
                                <w:szCs w:val="24"/>
                              </w:rPr>
                              <w:t>,</w:t>
                            </w:r>
                            <w:r w:rsidRPr="002C213D">
                              <w:rPr>
                                <w:rFonts w:ascii="Times New Roman" w:hAnsi="Times New Roman" w:cs="Times New Roman"/>
                                <w:sz w:val="24"/>
                                <w:szCs w:val="24"/>
                              </w:rPr>
                              <w:t xml:space="preserve"> the decline experienced by each nation demonstrates the effectiveness of DRR policies, particularly forestry management and land use policies.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5BE49E3" id="_x0000_s1035" type="#_x0000_t202" style="position:absolute;margin-left:292.8pt;margin-top:5.4pt;width:185.9pt;height:110.6pt;z-index:25167974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">
                <v:textbox style="mso-fit-shape-to-text:t">
                  <w:txbxContent>
                    <w:p w14:paraId="728E84D9" w14:textId="54744F9D" w:rsidR="002C213D" w:rsidRPr="002C213D" w:rsidRDefault="002C213D">
                      <w:pPr>
                        <w:rPr>
                          <w:rFonts w:ascii="Times New Roman" w:hAnsi="Times New Roman" w:cs="Times New Roman"/>
                          <w:b/>
                          <w:bCs/>
                          <w:sz w:val="32"/>
                          <w:szCs w:val="32"/>
                        </w:rPr>
                      </w:pPr>
                      <w:r w:rsidRPr="002C213D">
                        <w:rPr>
                          <w:rFonts w:ascii="Times New Roman" w:hAnsi="Times New Roman" w:cs="Times New Roman"/>
                          <w:b/>
                          <w:bCs/>
                          <w:sz w:val="32"/>
                          <w:szCs w:val="32"/>
                        </w:rPr>
                        <w:t>Forest Fire Risk in Decline</w:t>
                      </w:r>
                    </w:p>
                    <w:p w14:paraId="29873262" w14:textId="4FD3267C" w:rsidR="002C213D" w:rsidRPr="002C213D" w:rsidRDefault="002C213D">
                      <w:pPr>
                        <w:rPr>
                          <w:rFonts w:ascii="Times New Roman" w:hAnsi="Times New Roman" w:cs="Times New Roman"/>
                          <w:sz w:val="24"/>
                          <w:szCs w:val="24"/>
                        </w:rPr>
                      </w:pPr>
                      <w:r w:rsidRPr="002C213D">
                        <w:rPr>
                          <w:rFonts w:ascii="Times New Roman" w:hAnsi="Times New Roman" w:cs="Times New Roman"/>
                          <w:sz w:val="24"/>
                          <w:szCs w:val="24"/>
                        </w:rPr>
                        <w:t xml:space="preserve">In each of the nations included in the study the trendline for (% of Forested Area Burned) </w:t>
                      </w:r>
                      <w:r w:rsidR="00C447AD">
                        <w:rPr>
                          <w:rFonts w:ascii="Times New Roman" w:hAnsi="Times New Roman" w:cs="Times New Roman"/>
                          <w:sz w:val="24"/>
                          <w:szCs w:val="24"/>
                        </w:rPr>
                        <w:t>has a</w:t>
                      </w:r>
                      <w:r w:rsidRPr="002C213D">
                        <w:rPr>
                          <w:rFonts w:ascii="Times New Roman" w:hAnsi="Times New Roman" w:cs="Times New Roman"/>
                          <w:sz w:val="24"/>
                          <w:szCs w:val="24"/>
                        </w:rPr>
                        <w:t xml:space="preserve"> negative</w:t>
                      </w:r>
                      <w:r w:rsidR="00C447AD">
                        <w:rPr>
                          <w:rFonts w:ascii="Times New Roman" w:hAnsi="Times New Roman" w:cs="Times New Roman"/>
                          <w:sz w:val="24"/>
                          <w:szCs w:val="24"/>
                        </w:rPr>
                        <w:t xml:space="preserve"> slope</w:t>
                      </w:r>
                      <w:r w:rsidRPr="002C213D">
                        <w:rPr>
                          <w:rFonts w:ascii="Times New Roman" w:hAnsi="Times New Roman" w:cs="Times New Roman"/>
                          <w:sz w:val="24"/>
                          <w:szCs w:val="24"/>
                        </w:rPr>
                        <w:t>. Indicating that the risk of forest fires is in decline. While climate change and environmental degradation increase the risk</w:t>
                      </w:r>
                      <w:r w:rsidR="00C447AD">
                        <w:rPr>
                          <w:rFonts w:ascii="Times New Roman" w:hAnsi="Times New Roman" w:cs="Times New Roman"/>
                          <w:sz w:val="24"/>
                          <w:szCs w:val="24"/>
                        </w:rPr>
                        <w:t>,</w:t>
                      </w:r>
                      <w:r w:rsidRPr="002C213D">
                        <w:rPr>
                          <w:rFonts w:ascii="Times New Roman" w:hAnsi="Times New Roman" w:cs="Times New Roman"/>
                          <w:sz w:val="24"/>
                          <w:szCs w:val="24"/>
                        </w:rPr>
                        <w:t xml:space="preserve"> the decline experienced by each nation demonstrates the effectiveness of DRR policies, particularly forestry management and land use policies. </w:t>
                      </w:r>
                    </w:p>
                  </w:txbxContent>
                </v:textbox>
                <w10:wrap type="square"/>
              </v:shape>
            </w:pict>
          </mc:Fallback>
        </mc:AlternateContent>
      </w:r>
      <w:r w:rsidR="002C213D">
        <w:rPr>
          <w:noProof/>
        </w:rPr>
        <w:drawing>
          <wp:inline distT="0" distB="0" distL="0" distR="0" wp14:anchorId="0BB067CB" wp14:editId="62B2F717">
            <wp:extent cx="3497580" cy="2423160"/>
            <wp:effectExtent l="19050" t="19050" r="26670" b="15240"/>
            <wp:docPr id="23" name="Chart 23">
              <a:extLst xmlns:a="http://schemas.openxmlformats.org/drawingml/2006/main">
                <a:ext uri="{FF2B5EF4-FFF2-40B4-BE49-F238E27FC236}">
                  <a16:creationId xmlns:a16="http://schemas.microsoft.com/office/drawing/2014/main" id="{ABFD146A-F61B-4150-AEFE-63B1CDCCD6D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656D235" w14:textId="77777777" w:rsidR="00517124" w:rsidRDefault="00517124" w:rsidP="00517124">
      <w:pPr>
        <w:tabs>
          <w:tab w:val="left" w:pos="5928"/>
        </w:tabs>
      </w:pPr>
    </w:p>
    <w:p w14:paraId="55D02F9A" w14:textId="77777777" w:rsidR="00517124" w:rsidRDefault="00517124" w:rsidP="00517124">
      <w:pPr>
        <w:tabs>
          <w:tab w:val="left" w:pos="5928"/>
        </w:tabs>
      </w:pPr>
    </w:p>
    <w:p w14:paraId="6ED4AEA8" w14:textId="0AE277F7" w:rsidR="009A64F4" w:rsidRDefault="00517124" w:rsidP="00517124">
      <w:pPr>
        <w:tabs>
          <w:tab w:val="left" w:pos="5928"/>
        </w:tabs>
        <w:rPr>
          <w:rFonts w:ascii="Times New Roman" w:hAnsi="Times New Roman" w:cs="Times New Roman"/>
          <w:sz w:val="24"/>
          <w:szCs w:val="24"/>
        </w:rPr>
      </w:pPr>
      <w:r>
        <w:t xml:space="preserve">     </w:t>
      </w:r>
      <w:r w:rsidRPr="00C447AD">
        <w:rPr>
          <w:rFonts w:ascii="Times New Roman" w:hAnsi="Times New Roman" w:cs="Times New Roman"/>
          <w:sz w:val="24"/>
          <w:szCs w:val="24"/>
        </w:rPr>
        <w:t>Spain was the only nation to experience an increase in voter turnout across the studied time-frame, and experienced a 50% reduction in the a</w:t>
      </w:r>
      <w:r w:rsidR="00C447AD">
        <w:rPr>
          <w:rFonts w:ascii="Times New Roman" w:hAnsi="Times New Roman" w:cs="Times New Roman"/>
          <w:sz w:val="24"/>
          <w:szCs w:val="24"/>
        </w:rPr>
        <w:t>verage (</w:t>
      </w:r>
      <w:r w:rsidRPr="00C447AD">
        <w:rPr>
          <w:rFonts w:ascii="Times New Roman" w:hAnsi="Times New Roman" w:cs="Times New Roman"/>
          <w:sz w:val="24"/>
          <w:szCs w:val="24"/>
        </w:rPr>
        <w:t>% of forested area lost to fires</w:t>
      </w:r>
      <w:r w:rsidR="00C447AD">
        <w:rPr>
          <w:rFonts w:ascii="Times New Roman" w:hAnsi="Times New Roman" w:cs="Times New Roman"/>
          <w:sz w:val="24"/>
          <w:szCs w:val="24"/>
        </w:rPr>
        <w:t>)</w:t>
      </w:r>
      <w:r w:rsidRPr="00C447AD">
        <w:rPr>
          <w:rFonts w:ascii="Times New Roman" w:hAnsi="Times New Roman" w:cs="Times New Roman"/>
          <w:sz w:val="24"/>
          <w:szCs w:val="24"/>
        </w:rPr>
        <w:t>. Data analysis reflects the limited impact of forest fires on voter turnout across the examined southern European nations. Disasters at a larger scale may generate more significant impact in voter turnout, political accountability and political will for DRR. Even Portugal’s forest fires, by far the most severe in the study, failed to produce conclusive evidence, as demonstrated in Figure 4. The economically prosperous democracies are largely more insulated from disaster risk, and forest fires do not appear to be primary drivers for voter turnout</w:t>
      </w:r>
      <w:r w:rsidR="00C447AD">
        <w:rPr>
          <w:rFonts w:ascii="Times New Roman" w:hAnsi="Times New Roman" w:cs="Times New Roman"/>
          <w:sz w:val="24"/>
          <w:szCs w:val="24"/>
        </w:rPr>
        <w:t>, which in turn impacts</w:t>
      </w:r>
      <w:r w:rsidRPr="00C447AD">
        <w:rPr>
          <w:rFonts w:ascii="Times New Roman" w:hAnsi="Times New Roman" w:cs="Times New Roman"/>
          <w:sz w:val="24"/>
          <w:szCs w:val="24"/>
        </w:rPr>
        <w:t xml:space="preserve"> policy prioritization. Economic, social, </w:t>
      </w:r>
      <w:r w:rsidR="00535E3E" w:rsidRPr="00C447AD">
        <w:rPr>
          <w:rFonts w:ascii="Times New Roman" w:hAnsi="Times New Roman" w:cs="Times New Roman"/>
          <w:sz w:val="24"/>
          <w:szCs w:val="24"/>
        </w:rPr>
        <w:t xml:space="preserve">and administrative issues remain the primary drivers for voter turnout and generate the most political will. It can pleasantly be noted that risk appears on decline in the studied area, although worryingly, voter turnout is also in decline. </w:t>
      </w:r>
      <w:r w:rsidR="009A64F4">
        <w:rPr>
          <w:rFonts w:ascii="Times New Roman" w:hAnsi="Times New Roman" w:cs="Times New Roman"/>
          <w:sz w:val="24"/>
          <w:szCs w:val="24"/>
        </w:rPr>
        <w:t xml:space="preserve"> </w:t>
      </w:r>
    </w:p>
    <w:p w14:paraId="2D210218" w14:textId="21B42C1D" w:rsidR="009A64F4" w:rsidRDefault="009A64F4" w:rsidP="00517124">
      <w:pPr>
        <w:tabs>
          <w:tab w:val="left" w:pos="5928"/>
        </w:tabs>
        <w:rPr>
          <w:rFonts w:ascii="Times New Roman" w:hAnsi="Times New Roman" w:cs="Times New Roman"/>
          <w:sz w:val="24"/>
          <w:szCs w:val="24"/>
        </w:rPr>
      </w:pPr>
      <w:r>
        <w:rPr>
          <w:rFonts w:ascii="Times New Roman" w:hAnsi="Times New Roman" w:cs="Times New Roman"/>
          <w:sz w:val="24"/>
          <w:szCs w:val="24"/>
        </w:rPr>
        <w:t xml:space="preserve">     The relationship between voter turnout and natural disasters is likely to be stronger following more severe disasters. Further studies, directly targeting the largest disasters and catastrophes may demonstrate a stronger correlation between DRR mismanagement and voter turnout. The generation of increased political will and political accountability are vital for improved DRR, particularly in developing nations. While DRR has a limited impact on political participation within southern Europe, in nations with higher levels of exposure the impact is likely to be stronger. Identifying instances of increased voter turnout following natural disasters may provide prescriptive lessons for increasing political will and political accountability globally. </w:t>
      </w:r>
    </w:p>
    <w:p w14:paraId="180D14AD" w14:textId="48DEF6E8" w:rsidR="00942D57" w:rsidRDefault="00942D57" w:rsidP="00517124">
      <w:pPr>
        <w:tabs>
          <w:tab w:val="left" w:pos="5928"/>
        </w:tabs>
        <w:rPr>
          <w:rFonts w:ascii="Times New Roman" w:hAnsi="Times New Roman" w:cs="Times New Roman"/>
          <w:sz w:val="24"/>
          <w:szCs w:val="24"/>
        </w:rPr>
      </w:pPr>
    </w:p>
    <w:p w14:paraId="2CB2F5C1" w14:textId="688AADED" w:rsidR="00942D57" w:rsidRDefault="00942D57" w:rsidP="00517124">
      <w:pPr>
        <w:tabs>
          <w:tab w:val="left" w:pos="5928"/>
        </w:tabs>
        <w:rPr>
          <w:rFonts w:ascii="Times New Roman" w:hAnsi="Times New Roman" w:cs="Times New Roman"/>
          <w:sz w:val="24"/>
          <w:szCs w:val="24"/>
        </w:rPr>
      </w:pPr>
    </w:p>
    <w:p w14:paraId="2B3F3B82" w14:textId="33DABEF9" w:rsidR="00942D57" w:rsidRDefault="00942D57" w:rsidP="00517124">
      <w:pPr>
        <w:tabs>
          <w:tab w:val="left" w:pos="5928"/>
        </w:tabs>
        <w:rPr>
          <w:rFonts w:ascii="Times New Roman" w:hAnsi="Times New Roman" w:cs="Times New Roman"/>
          <w:sz w:val="24"/>
          <w:szCs w:val="24"/>
        </w:rPr>
      </w:pPr>
    </w:p>
    <w:p w14:paraId="60442F1A" w14:textId="282F19F5" w:rsidR="00942D57" w:rsidRPr="008D1CBC" w:rsidRDefault="008D1CBC" w:rsidP="00517124">
      <w:pPr>
        <w:tabs>
          <w:tab w:val="left" w:pos="5928"/>
        </w:tabs>
        <w:rPr>
          <w:rFonts w:ascii="Times New Roman" w:hAnsi="Times New Roman" w:cs="Times New Roman"/>
          <w:b/>
          <w:bCs/>
          <w:sz w:val="24"/>
          <w:szCs w:val="24"/>
        </w:rPr>
      </w:pPr>
      <w:r w:rsidRPr="008D1CBC">
        <w:rPr>
          <w:rFonts w:ascii="Times New Roman" w:hAnsi="Times New Roman" w:cs="Times New Roman"/>
          <w:b/>
          <w:bCs/>
          <w:sz w:val="24"/>
          <w:szCs w:val="24"/>
        </w:rPr>
        <w:t>Source Data:</w:t>
      </w:r>
    </w:p>
    <w:p w14:paraId="1CCA0CC5" w14:textId="77777777" w:rsidR="00942D57" w:rsidRDefault="00942D57" w:rsidP="00517124">
      <w:pPr>
        <w:tabs>
          <w:tab w:val="left" w:pos="5928"/>
        </w:tabs>
        <w:rPr>
          <w:rFonts w:ascii="Times New Roman" w:hAnsi="Times New Roman" w:cs="Times New Roman"/>
          <w:sz w:val="24"/>
          <w:szCs w:val="24"/>
        </w:rPr>
      </w:pPr>
      <w:r>
        <w:rPr>
          <w:rFonts w:ascii="Times New Roman" w:hAnsi="Times New Roman" w:cs="Times New Roman"/>
          <w:sz w:val="24"/>
          <w:szCs w:val="24"/>
        </w:rPr>
        <w:t xml:space="preserve">Data Sourced from the European Environment Agency: </w:t>
      </w:r>
    </w:p>
    <w:p w14:paraId="6EB99307" w14:textId="4059723C" w:rsidR="00942D57" w:rsidRDefault="008D1CBC" w:rsidP="00517124">
      <w:pPr>
        <w:tabs>
          <w:tab w:val="left" w:pos="5928"/>
        </w:tabs>
        <w:rPr>
          <w:rFonts w:ascii="Times New Roman" w:hAnsi="Times New Roman" w:cs="Times New Roman"/>
          <w:sz w:val="24"/>
          <w:szCs w:val="24"/>
        </w:rPr>
      </w:pPr>
      <w:hyperlink r:id="rId17" w:history="1">
        <w:r w:rsidRPr="00B46AF3">
          <w:rPr>
            <w:rStyle w:val="Hyperlink"/>
            <w:rFonts w:ascii="Times New Roman" w:hAnsi="Times New Roman" w:cs="Times New Roman"/>
            <w:sz w:val="24"/>
            <w:szCs w:val="24"/>
          </w:rPr>
          <w:t>https://www.eea.europa.eu/data-and-maps/daviz/burnt-forest-area-in-five-3/#tab-chart_5</w:t>
        </w:r>
      </w:hyperlink>
    </w:p>
    <w:p w14:paraId="25676595" w14:textId="32039369" w:rsidR="008D1CBC" w:rsidRDefault="008D1CBC" w:rsidP="00517124">
      <w:pPr>
        <w:tabs>
          <w:tab w:val="left" w:pos="5928"/>
        </w:tabs>
        <w:rPr>
          <w:rFonts w:ascii="Times New Roman" w:hAnsi="Times New Roman" w:cs="Times New Roman"/>
          <w:sz w:val="24"/>
          <w:szCs w:val="24"/>
        </w:rPr>
      </w:pPr>
      <w:r>
        <w:rPr>
          <w:rFonts w:ascii="Times New Roman" w:hAnsi="Times New Roman" w:cs="Times New Roman"/>
          <w:sz w:val="24"/>
          <w:szCs w:val="24"/>
        </w:rPr>
        <w:t>Forested Land Data sourced from United Nations Food and Agricultural Organization</w:t>
      </w:r>
    </w:p>
    <w:p w14:paraId="4E3B00F4" w14:textId="6255E9D1" w:rsidR="008D1CBC" w:rsidRDefault="008D1CBC" w:rsidP="00517124">
      <w:pPr>
        <w:tabs>
          <w:tab w:val="left" w:pos="5928"/>
        </w:tabs>
        <w:rPr>
          <w:rFonts w:ascii="Times New Roman" w:hAnsi="Times New Roman" w:cs="Times New Roman"/>
          <w:sz w:val="24"/>
          <w:szCs w:val="24"/>
        </w:rPr>
      </w:pPr>
      <w:hyperlink r:id="rId18" w:history="1">
        <w:r w:rsidRPr="00B46AF3">
          <w:rPr>
            <w:rStyle w:val="Hyperlink"/>
            <w:rFonts w:ascii="Times New Roman" w:hAnsi="Times New Roman" w:cs="Times New Roman"/>
            <w:sz w:val="24"/>
            <w:szCs w:val="24"/>
          </w:rPr>
          <w:t>http://www.fao.org/home/en/</w:t>
        </w:r>
      </w:hyperlink>
      <w:r>
        <w:rPr>
          <w:rFonts w:ascii="Times New Roman" w:hAnsi="Times New Roman" w:cs="Times New Roman"/>
          <w:sz w:val="24"/>
          <w:szCs w:val="24"/>
        </w:rPr>
        <w:t xml:space="preserve"> </w:t>
      </w:r>
    </w:p>
    <w:p w14:paraId="7E19BB47" w14:textId="77777777" w:rsidR="008D1CBC" w:rsidRPr="00C447AD" w:rsidRDefault="008D1CBC" w:rsidP="00517124">
      <w:pPr>
        <w:tabs>
          <w:tab w:val="left" w:pos="5928"/>
        </w:tabs>
        <w:rPr>
          <w:rFonts w:ascii="Times New Roman" w:hAnsi="Times New Roman" w:cs="Times New Roman"/>
          <w:sz w:val="24"/>
          <w:szCs w:val="24"/>
        </w:rPr>
      </w:pPr>
    </w:p>
    <w:sectPr w:rsidR="008D1CBC" w:rsidRPr="00C447AD" w:rsidSect="009E6DC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DCB"/>
    <w:rsid w:val="00005AB6"/>
    <w:rsid w:val="0002240B"/>
    <w:rsid w:val="002442AB"/>
    <w:rsid w:val="002C213D"/>
    <w:rsid w:val="003177A3"/>
    <w:rsid w:val="00322E6C"/>
    <w:rsid w:val="003F7984"/>
    <w:rsid w:val="00401F92"/>
    <w:rsid w:val="00517124"/>
    <w:rsid w:val="005337DC"/>
    <w:rsid w:val="00535E3E"/>
    <w:rsid w:val="00556A45"/>
    <w:rsid w:val="00674A54"/>
    <w:rsid w:val="008662EB"/>
    <w:rsid w:val="008D1CBC"/>
    <w:rsid w:val="00916BF2"/>
    <w:rsid w:val="00942D57"/>
    <w:rsid w:val="009A64F4"/>
    <w:rsid w:val="009E6DCB"/>
    <w:rsid w:val="009F34EF"/>
    <w:rsid w:val="00A070C4"/>
    <w:rsid w:val="00AC30B7"/>
    <w:rsid w:val="00C447AD"/>
    <w:rsid w:val="00CB54F7"/>
    <w:rsid w:val="00E14EBC"/>
    <w:rsid w:val="00FC7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02D31"/>
  <w15:chartTrackingRefBased/>
  <w15:docId w15:val="{A903EBAB-F359-414C-9A34-C3820FD17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DC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6DCB"/>
    <w:rPr>
      <w:color w:val="0563C1" w:themeColor="hyperlink"/>
      <w:u w:val="single"/>
    </w:rPr>
  </w:style>
  <w:style w:type="table" w:styleId="TableGrid">
    <w:name w:val="Table Grid"/>
    <w:basedOn w:val="TableNormal"/>
    <w:uiPriority w:val="39"/>
    <w:rsid w:val="00401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D1C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697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chart" Target="charts/chart9.xml"/><Relationship Id="rId18" Type="http://schemas.openxmlformats.org/officeDocument/2006/relationships/hyperlink" Target="http://www.fao.org/home/en/" TargetMode="External"/><Relationship Id="rId3" Type="http://schemas.openxmlformats.org/officeDocument/2006/relationships/webSettings" Target="webSettings.xml"/><Relationship Id="rId7" Type="http://schemas.openxmlformats.org/officeDocument/2006/relationships/chart" Target="charts/chart3.xml"/><Relationship Id="rId12" Type="http://schemas.openxmlformats.org/officeDocument/2006/relationships/chart" Target="charts/chart8.xml"/><Relationship Id="rId17" Type="http://schemas.openxmlformats.org/officeDocument/2006/relationships/hyperlink" Target="https://www.eea.europa.eu/data-and-maps/daviz/burnt-forest-area-in-five-3/#tab-chart_5" TargetMode="External"/><Relationship Id="rId2" Type="http://schemas.openxmlformats.org/officeDocument/2006/relationships/settings" Target="settings.xml"/><Relationship Id="rId16" Type="http://schemas.openxmlformats.org/officeDocument/2006/relationships/chart" Target="charts/chart1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chart" Target="charts/chart2.xml"/><Relationship Id="rId11" Type="http://schemas.openxmlformats.org/officeDocument/2006/relationships/chart" Target="charts/chart7.xml"/><Relationship Id="rId5" Type="http://schemas.openxmlformats.org/officeDocument/2006/relationships/chart" Target="charts/chart1.xml"/><Relationship Id="rId15" Type="http://schemas.openxmlformats.org/officeDocument/2006/relationships/chart" Target="charts/chart11.xml"/><Relationship Id="rId10" Type="http://schemas.openxmlformats.org/officeDocument/2006/relationships/chart" Target="charts/chart6.xml"/><Relationship Id="rId19" Type="http://schemas.openxmlformats.org/officeDocument/2006/relationships/fontTable" Target="fontTable.xml"/><Relationship Id="rId4" Type="http://schemas.openxmlformats.org/officeDocument/2006/relationships/hyperlink" Target="https://globalaffairswithgregayres.com/" TargetMode="External"/><Relationship Id="rId9" Type="http://schemas.openxmlformats.org/officeDocument/2006/relationships/chart" Target="charts/chart5.xml"/><Relationship Id="rId14" Type="http://schemas.openxmlformats.org/officeDocument/2006/relationships/chart" Target="charts/chart10.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Forest%20Fires\Raw%20Data%20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1.xml"/></Relationships>
</file>

<file path=word/charts/_rels/chart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Forest%20Fires\Raw%20Data%201.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European%20Wild%20FIres\Forest%20Fires%20Data%20Sets%20Complete.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European%20Wild%20FIres\Forest%20Fires%20Data%20Sets%20Complete.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European%20Wild%20FIres\Forest%20Fires%20Data%20Sets%20Complete.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European%20Wild%20FIres\Forest%20Fires%20Data%20Sets%20Complete.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European%20Wild%20FIres\Forest%20Fires%20Data%20Sets%20Complete.xlsx" TargetMode="External"/><Relationship Id="rId2" Type="http://schemas.microsoft.com/office/2011/relationships/chartColorStyle" Target="colors12.xml"/><Relationship Id="rId1" Type="http://schemas.microsoft.com/office/2011/relationships/chartStyle" Target="style1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Wildfires</a:t>
            </a:r>
            <a:r>
              <a:rPr lang="en-US" baseline="0"/>
              <a:t> Across Southern Europe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8.2015565047833069E-2"/>
          <c:y val="0.11373937677053826"/>
          <c:w val="0.89438240154621196"/>
          <c:h val="0.62878476946755602"/>
        </c:manualLayout>
      </c:layout>
      <c:lineChart>
        <c:grouping val="standard"/>
        <c:varyColors val="0"/>
        <c:ser>
          <c:idx val="0"/>
          <c:order val="0"/>
          <c:tx>
            <c:strRef>
              <c:f>'[Forest Fires Data Sets Complete.xlsx]Sheet9'!$M$3</c:f>
              <c:strCache>
                <c:ptCount val="1"/>
                <c:pt idx="0">
                  <c:v>Portugal</c:v>
                </c:pt>
              </c:strCache>
            </c:strRef>
          </c:tx>
          <c:spPr>
            <a:ln w="28575" cap="rnd">
              <a:solidFill>
                <a:srgbClr val="7030A0"/>
              </a:solidFill>
              <a:round/>
            </a:ln>
            <a:effectLst/>
          </c:spPr>
          <c:marker>
            <c:symbol val="none"/>
          </c:marker>
          <c:cat>
            <c:numRef>
              <c:f>'[Forest Fires Data Sets Complete.xlsx]Sheet9'!$L$4:$L$23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Complete.xlsx]Sheet9'!$M$4:$M$23</c:f>
              <c:numCache>
                <c:formatCode>General</c:formatCode>
                <c:ptCount val="20"/>
                <c:pt idx="0">
                  <c:v>4.618200231481481</c:v>
                </c:pt>
                <c:pt idx="1">
                  <c:v>3.2364004629629628</c:v>
                </c:pt>
                <c:pt idx="2">
                  <c:v>3.599855324074074</c:v>
                </c:pt>
                <c:pt idx="3">
                  <c:v>12.318460648148148</c:v>
                </c:pt>
                <c:pt idx="4">
                  <c:v>3.7482349537037032</c:v>
                </c:pt>
                <c:pt idx="5">
                  <c:v>9.78767361111111</c:v>
                </c:pt>
                <c:pt idx="6">
                  <c:v>2.1848958333333335</c:v>
                </c:pt>
                <c:pt idx="7">
                  <c:v>0.91001157407407407</c:v>
                </c:pt>
                <c:pt idx="8">
                  <c:v>0.49895833333333334</c:v>
                </c:pt>
                <c:pt idx="9">
                  <c:v>2.5293981481481485</c:v>
                </c:pt>
                <c:pt idx="10">
                  <c:v>3.8509837962962963</c:v>
                </c:pt>
                <c:pt idx="11">
                  <c:v>2.1357928240740742</c:v>
                </c:pt>
                <c:pt idx="12">
                  <c:v>3.1895543981481476</c:v>
                </c:pt>
                <c:pt idx="13">
                  <c:v>4.4200231481481485</c:v>
                </c:pt>
                <c:pt idx="14">
                  <c:v>0.57664930555555549</c:v>
                </c:pt>
                <c:pt idx="15">
                  <c:v>1.8646701388888889</c:v>
                </c:pt>
                <c:pt idx="16">
                  <c:v>4.6736689814814811</c:v>
                </c:pt>
                <c:pt idx="17">
                  <c:v>15.643229166666666</c:v>
                </c:pt>
                <c:pt idx="18">
                  <c:v>1.2898726851851852</c:v>
                </c:pt>
                <c:pt idx="19">
                  <c:v>1.2177083333333334</c:v>
                </c:pt>
              </c:numCache>
            </c:numRef>
          </c:val>
          <c:smooth val="0"/>
          <c:extLst>
            <c:ext xmlns:c16="http://schemas.microsoft.com/office/drawing/2014/chart" uri="{C3380CC4-5D6E-409C-BE32-E72D297353CC}">
              <c16:uniqueId val="{00000000-7426-449F-AAA3-2F4B8B3AEDC7}"/>
            </c:ext>
          </c:extLst>
        </c:ser>
        <c:ser>
          <c:idx val="1"/>
          <c:order val="1"/>
          <c:tx>
            <c:strRef>
              <c:f>'[Forest Fires Data Sets Complete.xlsx]Sheet9'!$N$3</c:f>
              <c:strCache>
                <c:ptCount val="1"/>
                <c:pt idx="0">
                  <c:v>Spain</c:v>
                </c:pt>
              </c:strCache>
            </c:strRef>
          </c:tx>
          <c:spPr>
            <a:ln w="28575" cap="rnd">
              <a:solidFill>
                <a:srgbClr val="FFFF00"/>
              </a:solidFill>
              <a:round/>
            </a:ln>
            <a:effectLst/>
          </c:spPr>
          <c:marker>
            <c:symbol val="none"/>
          </c:marker>
          <c:cat>
            <c:numRef>
              <c:f>'[Forest Fires Data Sets Complete.xlsx]Sheet9'!$L$4:$L$23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Complete.xlsx]Sheet9'!$N$4:$N$23</c:f>
              <c:numCache>
                <c:formatCode>General</c:formatCode>
                <c:ptCount val="20"/>
                <c:pt idx="0">
                  <c:v>1.0377262972541683</c:v>
                </c:pt>
                <c:pt idx="1">
                  <c:v>0.51338249050789631</c:v>
                </c:pt>
                <c:pt idx="2">
                  <c:v>0.59133879931766908</c:v>
                </c:pt>
                <c:pt idx="3">
                  <c:v>0.81534144059869029</c:v>
                </c:pt>
                <c:pt idx="4">
                  <c:v>0.73841963352225837</c:v>
                </c:pt>
                <c:pt idx="5">
                  <c:v>1.0383370934903429</c:v>
                </c:pt>
                <c:pt idx="6">
                  <c:v>0.85481208386067242</c:v>
                </c:pt>
                <c:pt idx="7">
                  <c:v>0.4739008419083256</c:v>
                </c:pt>
                <c:pt idx="8">
                  <c:v>0.27690529907004902</c:v>
                </c:pt>
                <c:pt idx="9">
                  <c:v>0.66083750619050241</c:v>
                </c:pt>
                <c:pt idx="10">
                  <c:v>0.30138116986738567</c:v>
                </c:pt>
                <c:pt idx="11">
                  <c:v>0.56215814670115005</c:v>
                </c:pt>
                <c:pt idx="12">
                  <c:v>1.244290981125846</c:v>
                </c:pt>
                <c:pt idx="13">
                  <c:v>0.32457491883563527</c:v>
                </c:pt>
                <c:pt idx="14">
                  <c:v>0.2570901887415396</c:v>
                </c:pt>
                <c:pt idx="15">
                  <c:v>0.56787541957849552</c:v>
                </c:pt>
                <c:pt idx="16">
                  <c:v>0.36216915203873873</c:v>
                </c:pt>
                <c:pt idx="17">
                  <c:v>0.98076266989489913</c:v>
                </c:pt>
                <c:pt idx="18">
                  <c:v>0.13845815220381885</c:v>
                </c:pt>
                <c:pt idx="19">
                  <c:v>0.46202057998129087</c:v>
                </c:pt>
              </c:numCache>
            </c:numRef>
          </c:val>
          <c:smooth val="0"/>
          <c:extLst>
            <c:ext xmlns:c16="http://schemas.microsoft.com/office/drawing/2014/chart" uri="{C3380CC4-5D6E-409C-BE32-E72D297353CC}">
              <c16:uniqueId val="{00000001-7426-449F-AAA3-2F4B8B3AEDC7}"/>
            </c:ext>
          </c:extLst>
        </c:ser>
        <c:ser>
          <c:idx val="2"/>
          <c:order val="2"/>
          <c:tx>
            <c:strRef>
              <c:f>'[Forest Fires Data Sets Complete.xlsx]Sheet9'!$O$3</c:f>
              <c:strCache>
                <c:ptCount val="1"/>
                <c:pt idx="0">
                  <c:v>France</c:v>
                </c:pt>
              </c:strCache>
            </c:strRef>
          </c:tx>
          <c:spPr>
            <a:ln w="28575" cap="rnd">
              <a:solidFill>
                <a:srgbClr val="FF0000"/>
              </a:solidFill>
              <a:round/>
            </a:ln>
            <a:effectLst/>
          </c:spPr>
          <c:marker>
            <c:symbol val="none"/>
          </c:marker>
          <c:cat>
            <c:numRef>
              <c:f>'[Forest Fires Data Sets Complete.xlsx]Sheet9'!$L$4:$L$23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Complete.xlsx]Sheet9'!$O$4:$O$23</c:f>
              <c:numCache>
                <c:formatCode>General</c:formatCode>
                <c:ptCount val="20"/>
                <c:pt idx="0">
                  <c:v>0.15092139902218876</c:v>
                </c:pt>
                <c:pt idx="1">
                  <c:v>0.12938448038109565</c:v>
                </c:pt>
                <c:pt idx="2">
                  <c:v>0.1890435000626802</c:v>
                </c:pt>
                <c:pt idx="3">
                  <c:v>0.45930801053027454</c:v>
                </c:pt>
                <c:pt idx="4">
                  <c:v>8.594082988592204E-2</c:v>
                </c:pt>
                <c:pt idx="5">
                  <c:v>0.13874263507584306</c:v>
                </c:pt>
                <c:pt idx="6">
                  <c:v>4.9166353265638708E-2</c:v>
                </c:pt>
                <c:pt idx="7">
                  <c:v>5.3716936191550706E-2</c:v>
                </c:pt>
                <c:pt idx="8">
                  <c:v>3.7614391375203712E-2</c:v>
                </c:pt>
                <c:pt idx="9">
                  <c:v>0.10655634950482637</c:v>
                </c:pt>
                <c:pt idx="10">
                  <c:v>6.4560611758806563E-2</c:v>
                </c:pt>
                <c:pt idx="11">
                  <c:v>5.8919393255609881E-2</c:v>
                </c:pt>
                <c:pt idx="12">
                  <c:v>5.3904976808323929E-2</c:v>
                </c:pt>
                <c:pt idx="13">
                  <c:v>2.2615018177259621E-2</c:v>
                </c:pt>
                <c:pt idx="14">
                  <c:v>4.6966278049392005E-2</c:v>
                </c:pt>
                <c:pt idx="15">
                  <c:v>6.9951109439638962E-2</c:v>
                </c:pt>
                <c:pt idx="16">
                  <c:v>0.10087125485771593</c:v>
                </c:pt>
                <c:pt idx="17">
                  <c:v>0.16533784630813589</c:v>
                </c:pt>
                <c:pt idx="18">
                  <c:v>3.2117337344866492E-2</c:v>
                </c:pt>
                <c:pt idx="19">
                  <c:v>0.14715431866616521</c:v>
                </c:pt>
              </c:numCache>
            </c:numRef>
          </c:val>
          <c:smooth val="0"/>
          <c:extLst>
            <c:ext xmlns:c16="http://schemas.microsoft.com/office/drawing/2014/chart" uri="{C3380CC4-5D6E-409C-BE32-E72D297353CC}">
              <c16:uniqueId val="{00000002-7426-449F-AAA3-2F4B8B3AEDC7}"/>
            </c:ext>
          </c:extLst>
        </c:ser>
        <c:ser>
          <c:idx val="3"/>
          <c:order val="3"/>
          <c:tx>
            <c:strRef>
              <c:f>'[Forest Fires Data Sets Complete.xlsx]Sheet9'!$P$3</c:f>
              <c:strCache>
                <c:ptCount val="1"/>
                <c:pt idx="0">
                  <c:v>Italy</c:v>
                </c:pt>
              </c:strCache>
            </c:strRef>
          </c:tx>
          <c:spPr>
            <a:ln w="28575" cap="rnd">
              <a:solidFill>
                <a:schemeClr val="tx1"/>
              </a:solidFill>
              <a:round/>
            </a:ln>
            <a:effectLst/>
          </c:spPr>
          <c:marker>
            <c:symbol val="none"/>
          </c:marker>
          <c:cat>
            <c:numRef>
              <c:f>'[Forest Fires Data Sets Complete.xlsx]Sheet9'!$L$4:$L$23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Complete.xlsx]Sheet9'!$P$4:$P$23</c:f>
              <c:numCache>
                <c:formatCode>General</c:formatCode>
                <c:ptCount val="20"/>
                <c:pt idx="0">
                  <c:v>1.2531205596240025</c:v>
                </c:pt>
                <c:pt idx="1">
                  <c:v>0.83535905563449564</c:v>
                </c:pt>
                <c:pt idx="2">
                  <c:v>0.44585200568368122</c:v>
                </c:pt>
                <c:pt idx="3">
                  <c:v>1.003442999234889</c:v>
                </c:pt>
                <c:pt idx="4">
                  <c:v>0.65773308558312393</c:v>
                </c:pt>
                <c:pt idx="5">
                  <c:v>0.52000218603126025</c:v>
                </c:pt>
                <c:pt idx="6">
                  <c:v>0.43661602360913759</c:v>
                </c:pt>
                <c:pt idx="7">
                  <c:v>2.4891135643239699</c:v>
                </c:pt>
                <c:pt idx="8">
                  <c:v>0.72498633730462336</c:v>
                </c:pt>
                <c:pt idx="9">
                  <c:v>0.80178161547710136</c:v>
                </c:pt>
                <c:pt idx="10">
                  <c:v>0.50865668379057816</c:v>
                </c:pt>
                <c:pt idx="11">
                  <c:v>0.7870149743141327</c:v>
                </c:pt>
                <c:pt idx="12">
                  <c:v>1.4298174663897694</c:v>
                </c:pt>
                <c:pt idx="13">
                  <c:v>0.317805224614712</c:v>
                </c:pt>
                <c:pt idx="14">
                  <c:v>0.39485189638211826</c:v>
                </c:pt>
                <c:pt idx="15">
                  <c:v>0.45372171822057061</c:v>
                </c:pt>
                <c:pt idx="16">
                  <c:v>0.52383867089299385</c:v>
                </c:pt>
                <c:pt idx="17">
                  <c:v>1.498557219368237</c:v>
                </c:pt>
                <c:pt idx="18">
                  <c:v>0.21293037490436115</c:v>
                </c:pt>
                <c:pt idx="19">
                  <c:v>0.39385725215870587</c:v>
                </c:pt>
              </c:numCache>
            </c:numRef>
          </c:val>
          <c:smooth val="0"/>
          <c:extLst>
            <c:ext xmlns:c16="http://schemas.microsoft.com/office/drawing/2014/chart" uri="{C3380CC4-5D6E-409C-BE32-E72D297353CC}">
              <c16:uniqueId val="{00000003-7426-449F-AAA3-2F4B8B3AEDC7}"/>
            </c:ext>
          </c:extLst>
        </c:ser>
        <c:ser>
          <c:idx val="4"/>
          <c:order val="4"/>
          <c:tx>
            <c:strRef>
              <c:f>'[Forest Fires Data Sets Complete.xlsx]Sheet9'!$Q$3</c:f>
              <c:strCache>
                <c:ptCount val="1"/>
                <c:pt idx="0">
                  <c:v>Greece</c:v>
                </c:pt>
              </c:strCache>
            </c:strRef>
          </c:tx>
          <c:spPr>
            <a:ln w="28575" cap="rnd">
              <a:solidFill>
                <a:schemeClr val="accent5"/>
              </a:solidFill>
              <a:round/>
            </a:ln>
            <a:effectLst/>
          </c:spPr>
          <c:marker>
            <c:symbol val="none"/>
          </c:marker>
          <c:cat>
            <c:numRef>
              <c:f>'[Forest Fires Data Sets Complete.xlsx]Sheet9'!$L$4:$L$23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Complete.xlsx]Sheet9'!$Q$4:$Q$23</c:f>
              <c:numCache>
                <c:formatCode>General</c:formatCode>
                <c:ptCount val="20"/>
                <c:pt idx="0">
                  <c:v>3.7159364591339994</c:v>
                </c:pt>
                <c:pt idx="1">
                  <c:v>0.46684601588521646</c:v>
                </c:pt>
                <c:pt idx="2">
                  <c:v>0.15406097873430694</c:v>
                </c:pt>
                <c:pt idx="3">
                  <c:v>9.0110171662823466E-2</c:v>
                </c:pt>
                <c:pt idx="4">
                  <c:v>0.26305406097873429</c:v>
                </c:pt>
                <c:pt idx="5">
                  <c:v>0.16492441711503972</c:v>
                </c:pt>
                <c:pt idx="6">
                  <c:v>0.32439149372277731</c:v>
                </c:pt>
                <c:pt idx="7">
                  <c:v>5.7836023571611586</c:v>
                </c:pt>
                <c:pt idx="8">
                  <c:v>0.74691263130924934</c:v>
                </c:pt>
                <c:pt idx="9">
                  <c:v>0.90550858314117344</c:v>
                </c:pt>
                <c:pt idx="10">
                  <c:v>0.22974634896233667</c:v>
                </c:pt>
                <c:pt idx="11">
                  <c:v>0.74670766077376372</c:v>
                </c:pt>
                <c:pt idx="12">
                  <c:v>1.5353317960543171</c:v>
                </c:pt>
                <c:pt idx="13">
                  <c:v>1.1959005892902896</c:v>
                </c:pt>
                <c:pt idx="14">
                  <c:v>0.66220855751985652</c:v>
                </c:pt>
                <c:pt idx="15">
                  <c:v>0.18180886497565976</c:v>
                </c:pt>
                <c:pt idx="16">
                  <c:v>0.67998975147322571</c:v>
                </c:pt>
                <c:pt idx="17">
                  <c:v>0.34314629771970284</c:v>
                </c:pt>
                <c:pt idx="18">
                  <c:v>0.39620804509351781</c:v>
                </c:pt>
                <c:pt idx="19">
                  <c:v>0.23451191391237511</c:v>
                </c:pt>
              </c:numCache>
            </c:numRef>
          </c:val>
          <c:smooth val="0"/>
          <c:extLst>
            <c:ext xmlns:c16="http://schemas.microsoft.com/office/drawing/2014/chart" uri="{C3380CC4-5D6E-409C-BE32-E72D297353CC}">
              <c16:uniqueId val="{00000004-7426-449F-AAA3-2F4B8B3AEDC7}"/>
            </c:ext>
          </c:extLst>
        </c:ser>
        <c:dLbls>
          <c:showLegendKey val="0"/>
          <c:showVal val="0"/>
          <c:showCatName val="0"/>
          <c:showSerName val="0"/>
          <c:showPercent val="0"/>
          <c:showBubbleSize val="0"/>
        </c:dLbls>
        <c:smooth val="0"/>
        <c:axId val="559138696"/>
        <c:axId val="559147552"/>
      </c:lineChart>
      <c:catAx>
        <c:axId val="55913869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layout>
            <c:manualLayout>
              <c:xMode val="edge"/>
              <c:yMode val="edge"/>
              <c:x val="0.50730676639276295"/>
              <c:y val="0.8438141762024791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9147552"/>
        <c:crosses val="autoZero"/>
        <c:auto val="1"/>
        <c:lblAlgn val="ctr"/>
        <c:lblOffset val="100"/>
        <c:noMultiLvlLbl val="0"/>
      </c:catAx>
      <c:valAx>
        <c:axId val="559147552"/>
        <c:scaling>
          <c:orientation val="minMax"/>
          <c:max val="16"/>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91386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28575" cap="flat" cmpd="sng" algn="ctr">
      <a:solidFill>
        <a:schemeClr val="tx1"/>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Politics</a:t>
            </a:r>
            <a:r>
              <a:rPr lang="en-US" baseline="0"/>
              <a:t> and Portugal's Wildfires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0881714785651793"/>
          <c:y val="0.17171296296296296"/>
          <c:w val="0.76569903762029734"/>
          <c:h val="0.58162766112569264"/>
        </c:manualLayout>
      </c:layout>
      <c:areaChart>
        <c:grouping val="stacked"/>
        <c:varyColors val="0"/>
        <c:ser>
          <c:idx val="0"/>
          <c:order val="0"/>
          <c:tx>
            <c:strRef>
              <c:f>'[Forest Fires Data Sets Complete.xlsx]Sheet2'!$M$2</c:f>
              <c:strCache>
                <c:ptCount val="1"/>
                <c:pt idx="0">
                  <c:v>Burned Forest</c:v>
                </c:pt>
              </c:strCache>
            </c:strRef>
          </c:tx>
          <c:spPr>
            <a:solidFill>
              <a:schemeClr val="accent1"/>
            </a:solidFill>
            <a:ln>
              <a:noFill/>
            </a:ln>
            <a:effectLst/>
          </c:spPr>
          <c:cat>
            <c:numRef>
              <c:f>'[Forest Fires Data Sets Complete.xlsx]Sheet2'!$L$3:$L$23</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'[Forest Fires Data Sets Complete.xlsx]Sheet2'!$M$3:$M$23</c:f>
              <c:numCache>
                <c:formatCode>General</c:formatCode>
                <c:ptCount val="21"/>
                <c:pt idx="1">
                  <c:v>4.618200231481481</c:v>
                </c:pt>
                <c:pt idx="2">
                  <c:v>3.2364004629629628</c:v>
                </c:pt>
                <c:pt idx="3">
                  <c:v>3.599855324074074</c:v>
                </c:pt>
                <c:pt idx="4">
                  <c:v>12.318460648148148</c:v>
                </c:pt>
                <c:pt idx="5">
                  <c:v>3.7482349537037032</c:v>
                </c:pt>
                <c:pt idx="6">
                  <c:v>9.78767361111111</c:v>
                </c:pt>
                <c:pt idx="7">
                  <c:v>2.1848958333333335</c:v>
                </c:pt>
                <c:pt idx="8">
                  <c:v>0.91001157407407407</c:v>
                </c:pt>
                <c:pt idx="9">
                  <c:v>0.49895833333333334</c:v>
                </c:pt>
                <c:pt idx="10">
                  <c:v>2.5293981481481485</c:v>
                </c:pt>
                <c:pt idx="11">
                  <c:v>3.8509837962962963</c:v>
                </c:pt>
                <c:pt idx="12">
                  <c:v>2.1357928240740742</c:v>
                </c:pt>
                <c:pt idx="13">
                  <c:v>3.1895543981481476</c:v>
                </c:pt>
                <c:pt idx="14">
                  <c:v>4.4200231481481485</c:v>
                </c:pt>
                <c:pt idx="15">
                  <c:v>0.57664930555555549</c:v>
                </c:pt>
                <c:pt idx="16">
                  <c:v>1.8646701388888889</c:v>
                </c:pt>
                <c:pt idx="17">
                  <c:v>4.6736689814814811</c:v>
                </c:pt>
                <c:pt idx="18">
                  <c:v>15.643229166666666</c:v>
                </c:pt>
                <c:pt idx="19">
                  <c:v>1.2898726851851852</c:v>
                </c:pt>
                <c:pt idx="20">
                  <c:v>1.2177083333333334</c:v>
                </c:pt>
              </c:numCache>
            </c:numRef>
          </c:val>
          <c:extLst>
            <c:ext xmlns:c16="http://schemas.microsoft.com/office/drawing/2014/chart" uri="{C3380CC4-5D6E-409C-BE32-E72D297353CC}">
              <c16:uniqueId val="{00000000-B5E4-4CBF-8A23-B14386AF61A5}"/>
            </c:ext>
          </c:extLst>
        </c:ser>
        <c:dLbls>
          <c:showLegendKey val="0"/>
          <c:showVal val="0"/>
          <c:showCatName val="0"/>
          <c:showSerName val="0"/>
          <c:showPercent val="0"/>
          <c:showBubbleSize val="0"/>
        </c:dLbls>
        <c:axId val="496980920"/>
        <c:axId val="496980264"/>
      </c:areaChart>
      <c:barChart>
        <c:barDir val="col"/>
        <c:grouping val="clustered"/>
        <c:varyColors val="0"/>
        <c:ser>
          <c:idx val="1"/>
          <c:order val="1"/>
          <c:tx>
            <c:strRef>
              <c:f>'[Forest Fires Data Sets Complete.xlsx]Sheet2'!$N$2</c:f>
              <c:strCache>
                <c:ptCount val="1"/>
                <c:pt idx="0">
                  <c:v>Turnout</c:v>
                </c:pt>
              </c:strCache>
            </c:strRef>
          </c:tx>
          <c:spPr>
            <a:solidFill>
              <a:schemeClr val="accent2"/>
            </a:solidFill>
            <a:ln>
              <a:noFill/>
            </a:ln>
            <a:effectLst/>
          </c:spPr>
          <c:invertIfNegative val="0"/>
          <c:trendline>
            <c:spPr>
              <a:ln w="19050" cap="rnd">
                <a:solidFill>
                  <a:schemeClr val="accent2"/>
                </a:solidFill>
                <a:prstDash val="sysDot"/>
              </a:ln>
              <a:effectLst/>
            </c:spPr>
            <c:trendlineType val="linear"/>
            <c:dispRSqr val="0"/>
            <c:dispEq val="0"/>
          </c:trendline>
          <c:cat>
            <c:numRef>
              <c:f>'[Forest Fires Data Sets Complete.xlsx]Sheet2'!$L$3:$L$23</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'[Forest Fires Data Sets Complete.xlsx]Sheet2'!$N$3:$N$23</c:f>
              <c:numCache>
                <c:formatCode>General</c:formatCode>
                <c:ptCount val="21"/>
                <c:pt idx="0">
                  <c:v>61.1</c:v>
                </c:pt>
                <c:pt idx="3">
                  <c:v>61.5</c:v>
                </c:pt>
                <c:pt idx="5">
                  <c:v>64.3</c:v>
                </c:pt>
                <c:pt idx="10">
                  <c:v>59.7</c:v>
                </c:pt>
                <c:pt idx="12">
                  <c:v>58</c:v>
                </c:pt>
                <c:pt idx="16">
                  <c:v>55.8</c:v>
                </c:pt>
                <c:pt idx="20">
                  <c:v>48.6</c:v>
                </c:pt>
              </c:numCache>
            </c:numRef>
          </c:val>
          <c:extLst>
            <c:ext xmlns:c16="http://schemas.microsoft.com/office/drawing/2014/chart" uri="{C3380CC4-5D6E-409C-BE32-E72D297353CC}">
              <c16:uniqueId val="{00000002-B5E4-4CBF-8A23-B14386AF61A5}"/>
            </c:ext>
          </c:extLst>
        </c:ser>
        <c:dLbls>
          <c:showLegendKey val="0"/>
          <c:showVal val="0"/>
          <c:showCatName val="0"/>
          <c:showSerName val="0"/>
          <c:showPercent val="0"/>
          <c:showBubbleSize val="0"/>
        </c:dLbls>
        <c:gapWidth val="150"/>
        <c:axId val="492491432"/>
        <c:axId val="492494712"/>
      </c:barChart>
      <c:catAx>
        <c:axId val="49249143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2494712"/>
        <c:crosses val="autoZero"/>
        <c:auto val="0"/>
        <c:lblAlgn val="ctr"/>
        <c:lblOffset val="100"/>
        <c:noMultiLvlLbl val="0"/>
      </c:catAx>
      <c:valAx>
        <c:axId val="492494712"/>
        <c:scaling>
          <c:orientation val="minMax"/>
          <c:max val="10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Parlimentary</a:t>
                </a:r>
                <a:r>
                  <a:rPr lang="en-US" baseline="0"/>
                  <a:t> Turnout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2491432"/>
        <c:crosses val="autoZero"/>
        <c:crossBetween val="between"/>
      </c:valAx>
      <c:valAx>
        <c:axId val="496980264"/>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6980920"/>
        <c:crosses val="max"/>
        <c:crossBetween val="between"/>
      </c:valAx>
      <c:catAx>
        <c:axId val="496980920"/>
        <c:scaling>
          <c:orientation val="minMax"/>
        </c:scaling>
        <c:delete val="1"/>
        <c:axPos val="b"/>
        <c:numFmt formatCode="General" sourceLinked="1"/>
        <c:majorTickMark val="out"/>
        <c:minorTickMark val="none"/>
        <c:tickLblPos val="nextTo"/>
        <c:crossAx val="496980264"/>
        <c:crosses val="autoZero"/>
        <c:auto val="1"/>
        <c:lblAlgn val="ctr"/>
        <c:lblOffset val="100"/>
        <c:noMultiLvlLbl val="0"/>
      </c:catAx>
      <c:spPr>
        <a:noFill/>
        <a:ln>
          <a:noFill/>
        </a:ln>
        <a:effectLst/>
      </c:spPr>
    </c:plotArea>
    <c:legend>
      <c:legendPos val="b"/>
      <c:layout>
        <c:manualLayout>
          <c:xMode val="edge"/>
          <c:yMode val="edge"/>
          <c:x val="0.24557308195952629"/>
          <c:y val="0.91776258230879038"/>
          <c:w val="0.51248477518741531"/>
          <c:h val="8.223741769120965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28575" cap="flat" cmpd="sng" algn="ctr">
      <a:solidFill>
        <a:schemeClr val="tx1"/>
      </a:solidFill>
      <a:round/>
    </a:ln>
    <a:effectLst/>
  </c:spPr>
  <c:txPr>
    <a:bodyPr/>
    <a:lstStyle/>
    <a:p>
      <a:pPr>
        <a:defRPr/>
      </a:pPr>
      <a:endParaRPr lang="en-US"/>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Politic</a:t>
            </a:r>
            <a:r>
              <a:rPr lang="en-US" baseline="0"/>
              <a:t>s and Greece's Wildfires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8.8368883467031409E-2"/>
          <c:y val="0.15263374485596709"/>
          <c:w val="0.84196332852759603"/>
          <c:h val="0.6136703282460062"/>
        </c:manualLayout>
      </c:layout>
      <c:areaChart>
        <c:grouping val="stacked"/>
        <c:varyColors val="0"/>
        <c:ser>
          <c:idx val="0"/>
          <c:order val="0"/>
          <c:tx>
            <c:strRef>
              <c:f>'[Forest Fires Data Sets Complete.xlsx]Sheet6'!$Q$3</c:f>
              <c:strCache>
                <c:ptCount val="1"/>
                <c:pt idx="0">
                  <c:v>Burned Forest</c:v>
                </c:pt>
              </c:strCache>
            </c:strRef>
          </c:tx>
          <c:spPr>
            <a:solidFill>
              <a:schemeClr val="accent1"/>
            </a:solidFill>
            <a:ln>
              <a:noFill/>
            </a:ln>
            <a:effectLst/>
          </c:spPr>
          <c:cat>
            <c:numRef>
              <c:f>'[Forest Fires Data Sets Complete.xlsx]Sheet6'!$P$4:$P$25</c:f>
              <c:numCache>
                <c:formatCode>General</c:formatCode>
                <c:ptCount val="22"/>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2012.5</c:v>
                </c:pt>
                <c:pt idx="14">
                  <c:v>2013</c:v>
                </c:pt>
                <c:pt idx="15">
                  <c:v>2014</c:v>
                </c:pt>
                <c:pt idx="16">
                  <c:v>2015</c:v>
                </c:pt>
                <c:pt idx="17">
                  <c:v>2015.5</c:v>
                </c:pt>
                <c:pt idx="18">
                  <c:v>2016</c:v>
                </c:pt>
                <c:pt idx="19">
                  <c:v>2017</c:v>
                </c:pt>
                <c:pt idx="20">
                  <c:v>2018</c:v>
                </c:pt>
                <c:pt idx="21">
                  <c:v>2019</c:v>
                </c:pt>
              </c:numCache>
            </c:numRef>
          </c:cat>
          <c:val>
            <c:numRef>
              <c:f>'[Forest Fires Data Sets Complete.xlsx]Sheet6'!$Q$4:$Q$25</c:f>
              <c:numCache>
                <c:formatCode>General</c:formatCode>
                <c:ptCount val="22"/>
                <c:pt idx="0">
                  <c:v>3.7159364591339994</c:v>
                </c:pt>
                <c:pt idx="1">
                  <c:v>0.46684601588521646</c:v>
                </c:pt>
                <c:pt idx="2">
                  <c:v>0.15406097873430694</c:v>
                </c:pt>
                <c:pt idx="3">
                  <c:v>9.0110171662823466E-2</c:v>
                </c:pt>
                <c:pt idx="4">
                  <c:v>0.26305406097873429</c:v>
                </c:pt>
                <c:pt idx="5">
                  <c:v>0.16492441711503972</c:v>
                </c:pt>
                <c:pt idx="6">
                  <c:v>0.32439149372277731</c:v>
                </c:pt>
                <c:pt idx="7">
                  <c:v>5.7836023571611586</c:v>
                </c:pt>
                <c:pt idx="8">
                  <c:v>0.74691263130924934</c:v>
                </c:pt>
                <c:pt idx="9">
                  <c:v>0.90550858314117344</c:v>
                </c:pt>
                <c:pt idx="10">
                  <c:v>0.22974634896233667</c:v>
                </c:pt>
                <c:pt idx="11">
                  <c:v>0.74670766077376372</c:v>
                </c:pt>
                <c:pt idx="12">
                  <c:v>1.5353317960543171</c:v>
                </c:pt>
                <c:pt idx="13">
                  <c:v>1.5353319999999999</c:v>
                </c:pt>
                <c:pt idx="14">
                  <c:v>1.1959005892902896</c:v>
                </c:pt>
                <c:pt idx="15">
                  <c:v>0.66220855751985652</c:v>
                </c:pt>
                <c:pt idx="16">
                  <c:v>0.66220855751985652</c:v>
                </c:pt>
                <c:pt idx="17">
                  <c:v>0.66220900000000005</c:v>
                </c:pt>
                <c:pt idx="18">
                  <c:v>0.67998975147322571</c:v>
                </c:pt>
                <c:pt idx="19">
                  <c:v>0.34314629771970284</c:v>
                </c:pt>
                <c:pt idx="20">
                  <c:v>0.39620804509351781</c:v>
                </c:pt>
                <c:pt idx="21">
                  <c:v>0.23451191391237511</c:v>
                </c:pt>
              </c:numCache>
            </c:numRef>
          </c:val>
          <c:extLst>
            <c:ext xmlns:c16="http://schemas.microsoft.com/office/drawing/2014/chart" uri="{C3380CC4-5D6E-409C-BE32-E72D297353CC}">
              <c16:uniqueId val="{00000000-3446-47E8-9D8D-2B56EF328231}"/>
            </c:ext>
          </c:extLst>
        </c:ser>
        <c:dLbls>
          <c:showLegendKey val="0"/>
          <c:showVal val="0"/>
          <c:showCatName val="0"/>
          <c:showSerName val="0"/>
          <c:showPercent val="0"/>
          <c:showBubbleSize val="0"/>
        </c:dLbls>
        <c:axId val="505761272"/>
        <c:axId val="505760944"/>
      </c:areaChart>
      <c:barChart>
        <c:barDir val="col"/>
        <c:grouping val="clustered"/>
        <c:varyColors val="0"/>
        <c:ser>
          <c:idx val="1"/>
          <c:order val="1"/>
          <c:tx>
            <c:strRef>
              <c:f>'[Forest Fires Data Sets Complete.xlsx]Sheet6'!$R$3</c:f>
              <c:strCache>
                <c:ptCount val="1"/>
                <c:pt idx="0">
                  <c:v>Parlimentary Turnout</c:v>
                </c:pt>
              </c:strCache>
            </c:strRef>
          </c:tx>
          <c:spPr>
            <a:solidFill>
              <a:schemeClr val="accent2"/>
            </a:solidFill>
            <a:ln>
              <a:noFill/>
            </a:ln>
            <a:effectLst/>
          </c:spPr>
          <c:invertIfNegative val="0"/>
          <c:trendline>
            <c:spPr>
              <a:ln w="19050" cap="rnd">
                <a:solidFill>
                  <a:schemeClr val="accent2"/>
                </a:solidFill>
                <a:prstDash val="sysDot"/>
              </a:ln>
              <a:effectLst/>
            </c:spPr>
            <c:trendlineType val="linear"/>
            <c:dispRSqr val="0"/>
            <c:dispEq val="0"/>
          </c:trendline>
          <c:cat>
            <c:numRef>
              <c:f>'[Forest Fires Data Sets Complete.xlsx]Sheet6'!$P$4:$P$25</c:f>
              <c:numCache>
                <c:formatCode>General</c:formatCode>
                <c:ptCount val="22"/>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2012.5</c:v>
                </c:pt>
                <c:pt idx="14">
                  <c:v>2013</c:v>
                </c:pt>
                <c:pt idx="15">
                  <c:v>2014</c:v>
                </c:pt>
                <c:pt idx="16">
                  <c:v>2015</c:v>
                </c:pt>
                <c:pt idx="17">
                  <c:v>2015.5</c:v>
                </c:pt>
                <c:pt idx="18">
                  <c:v>2016</c:v>
                </c:pt>
                <c:pt idx="19">
                  <c:v>2017</c:v>
                </c:pt>
                <c:pt idx="20">
                  <c:v>2018</c:v>
                </c:pt>
                <c:pt idx="21">
                  <c:v>2019</c:v>
                </c:pt>
              </c:numCache>
            </c:numRef>
          </c:cat>
          <c:val>
            <c:numRef>
              <c:f>'[Forest Fires Data Sets Complete.xlsx]Sheet6'!$R$4:$R$25</c:f>
              <c:numCache>
                <c:formatCode>General</c:formatCode>
                <c:ptCount val="22"/>
                <c:pt idx="0">
                  <c:v>74.97</c:v>
                </c:pt>
                <c:pt idx="4">
                  <c:v>76.599999999999994</c:v>
                </c:pt>
                <c:pt idx="7">
                  <c:v>74.400000000000006</c:v>
                </c:pt>
                <c:pt idx="9">
                  <c:v>70.900000000000006</c:v>
                </c:pt>
                <c:pt idx="12">
                  <c:v>65.099999999999994</c:v>
                </c:pt>
                <c:pt idx="13">
                  <c:v>62.5</c:v>
                </c:pt>
                <c:pt idx="16">
                  <c:v>63.6</c:v>
                </c:pt>
                <c:pt idx="17">
                  <c:v>56.6</c:v>
                </c:pt>
                <c:pt idx="21">
                  <c:v>57.91</c:v>
                </c:pt>
              </c:numCache>
            </c:numRef>
          </c:val>
          <c:extLst>
            <c:ext xmlns:c16="http://schemas.microsoft.com/office/drawing/2014/chart" uri="{C3380CC4-5D6E-409C-BE32-E72D297353CC}">
              <c16:uniqueId val="{00000002-3446-47E8-9D8D-2B56EF328231}"/>
            </c:ext>
          </c:extLst>
        </c:ser>
        <c:dLbls>
          <c:showLegendKey val="0"/>
          <c:showVal val="0"/>
          <c:showCatName val="0"/>
          <c:showSerName val="0"/>
          <c:showPercent val="0"/>
          <c:showBubbleSize val="0"/>
        </c:dLbls>
        <c:gapWidth val="219"/>
        <c:overlap val="-27"/>
        <c:axId val="505748480"/>
        <c:axId val="505752744"/>
      </c:barChart>
      <c:catAx>
        <c:axId val="50574848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layout>
            <c:manualLayout>
              <c:xMode val="edge"/>
              <c:yMode val="edge"/>
              <c:x val="0.5287900632139293"/>
              <c:y val="0.88269595930138367"/>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5752744"/>
        <c:crosses val="autoZero"/>
        <c:auto val="1"/>
        <c:lblAlgn val="ctr"/>
        <c:lblOffset val="100"/>
        <c:noMultiLvlLbl val="0"/>
      </c:catAx>
      <c:valAx>
        <c:axId val="505752744"/>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Parlimentary</a:t>
                </a:r>
                <a:r>
                  <a:rPr lang="en-US" baseline="0"/>
                  <a:t> Turnout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5748480"/>
        <c:crosses val="autoZero"/>
        <c:crossBetween val="between"/>
      </c:valAx>
      <c:valAx>
        <c:axId val="505760944"/>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r>
                  <a:rPr lang="en-US"/>
                  <a:t>e</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5761272"/>
        <c:crosses val="max"/>
        <c:crossBetween val="between"/>
      </c:valAx>
      <c:catAx>
        <c:axId val="505761272"/>
        <c:scaling>
          <c:orientation val="minMax"/>
        </c:scaling>
        <c:delete val="1"/>
        <c:axPos val="b"/>
        <c:numFmt formatCode="General" sourceLinked="1"/>
        <c:majorTickMark val="out"/>
        <c:minorTickMark val="none"/>
        <c:tickLblPos val="nextTo"/>
        <c:crossAx val="505760944"/>
        <c:crosses val="autoZero"/>
        <c:auto val="1"/>
        <c:lblAlgn val="ctr"/>
        <c:lblOffset val="100"/>
        <c:noMultiLvlLbl val="0"/>
      </c:catAx>
      <c:spPr>
        <a:noFill/>
        <a:ln>
          <a:noFill/>
        </a:ln>
        <a:effectLst/>
      </c:spPr>
    </c:plotArea>
    <c:legend>
      <c:legendPos val="b"/>
      <c:layout>
        <c:manualLayout>
          <c:xMode val="edge"/>
          <c:yMode val="edge"/>
          <c:x val="0.11035882838588838"/>
          <c:y val="0.93055506950520073"/>
          <c:w val="0.78319470629551591"/>
          <c:h val="6.9444930494799259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28575" cap="flat" cmpd="sng" algn="ctr">
      <a:solidFill>
        <a:schemeClr val="tx1"/>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Politics</a:t>
            </a:r>
            <a:r>
              <a:rPr lang="en-US" baseline="0"/>
              <a:t> and Italy's Wildfires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8.6640148117273608E-2"/>
          <c:y val="0.14683293745051465"/>
          <c:w val="0.84729891358516896"/>
          <c:h val="0.64123758580058732"/>
        </c:manualLayout>
      </c:layout>
      <c:areaChart>
        <c:grouping val="stacked"/>
        <c:varyColors val="0"/>
        <c:ser>
          <c:idx val="0"/>
          <c:order val="0"/>
          <c:tx>
            <c:strRef>
              <c:f>'[Forest Fires Data Sets Complete.xlsx]Sheet5'!$P$3</c:f>
              <c:strCache>
                <c:ptCount val="1"/>
                <c:pt idx="0">
                  <c:v>Burned Forest</c:v>
                </c:pt>
              </c:strCache>
            </c:strRef>
          </c:tx>
          <c:spPr>
            <a:solidFill>
              <a:schemeClr val="accent1"/>
            </a:solidFill>
            <a:ln>
              <a:noFill/>
            </a:ln>
            <a:effectLst/>
          </c:spPr>
          <c:cat>
            <c:numRef>
              <c:f>'[Forest Fires Data Sets Complete.xlsx]Sheet5'!$O$4:$O$23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Complete.xlsx]Sheet5'!$P$4:$P$23</c:f>
              <c:numCache>
                <c:formatCode>General</c:formatCode>
                <c:ptCount val="20"/>
                <c:pt idx="0">
                  <c:v>1.2531205596240025</c:v>
                </c:pt>
                <c:pt idx="1">
                  <c:v>0.83535905563449564</c:v>
                </c:pt>
                <c:pt idx="2">
                  <c:v>0.44585200568368122</c:v>
                </c:pt>
                <c:pt idx="3">
                  <c:v>1.003442999234889</c:v>
                </c:pt>
                <c:pt idx="4">
                  <c:v>0.65773308558312393</c:v>
                </c:pt>
                <c:pt idx="5">
                  <c:v>0.52000218603126025</c:v>
                </c:pt>
                <c:pt idx="6">
                  <c:v>0.43661602360913759</c:v>
                </c:pt>
                <c:pt idx="7">
                  <c:v>2.4891135643239699</c:v>
                </c:pt>
                <c:pt idx="8">
                  <c:v>0.72498633730462336</c:v>
                </c:pt>
                <c:pt idx="9">
                  <c:v>0.80178161547710136</c:v>
                </c:pt>
                <c:pt idx="10">
                  <c:v>0.50865668379057816</c:v>
                </c:pt>
                <c:pt idx="11">
                  <c:v>0.7870149743141327</c:v>
                </c:pt>
                <c:pt idx="12">
                  <c:v>1.4298174663897694</c:v>
                </c:pt>
                <c:pt idx="13">
                  <c:v>0.317805224614712</c:v>
                </c:pt>
                <c:pt idx="14">
                  <c:v>0.39485189638211826</c:v>
                </c:pt>
                <c:pt idx="15">
                  <c:v>0.45372171822057061</c:v>
                </c:pt>
                <c:pt idx="16">
                  <c:v>0.52383867089299385</c:v>
                </c:pt>
                <c:pt idx="17">
                  <c:v>1.498557219368237</c:v>
                </c:pt>
                <c:pt idx="18">
                  <c:v>0.21293037490436115</c:v>
                </c:pt>
                <c:pt idx="19">
                  <c:v>0.39385725215870587</c:v>
                </c:pt>
              </c:numCache>
            </c:numRef>
          </c:val>
          <c:extLst>
            <c:ext xmlns:c16="http://schemas.microsoft.com/office/drawing/2014/chart" uri="{C3380CC4-5D6E-409C-BE32-E72D297353CC}">
              <c16:uniqueId val="{00000000-3301-4E99-8685-CBB531A75A79}"/>
            </c:ext>
          </c:extLst>
        </c:ser>
        <c:dLbls>
          <c:showLegendKey val="0"/>
          <c:showVal val="0"/>
          <c:showCatName val="0"/>
          <c:showSerName val="0"/>
          <c:showPercent val="0"/>
          <c:showBubbleSize val="0"/>
        </c:dLbls>
        <c:axId val="102133296"/>
        <c:axId val="102132968"/>
      </c:areaChart>
      <c:barChart>
        <c:barDir val="col"/>
        <c:grouping val="clustered"/>
        <c:varyColors val="0"/>
        <c:ser>
          <c:idx val="1"/>
          <c:order val="1"/>
          <c:tx>
            <c:strRef>
              <c:f>'[Forest Fires Data Sets Complete.xlsx]Sheet5'!$Q$3</c:f>
              <c:strCache>
                <c:ptCount val="1"/>
                <c:pt idx="0">
                  <c:v>Turnout</c:v>
                </c:pt>
              </c:strCache>
            </c:strRef>
          </c:tx>
          <c:spPr>
            <a:solidFill>
              <a:schemeClr val="accent2"/>
            </a:solidFill>
            <a:ln>
              <a:noFill/>
            </a:ln>
            <a:effectLst/>
          </c:spPr>
          <c:invertIfNegative val="0"/>
          <c:trendline>
            <c:spPr>
              <a:ln w="19050" cap="rnd">
                <a:solidFill>
                  <a:schemeClr val="accent2"/>
                </a:solidFill>
                <a:prstDash val="sysDot"/>
              </a:ln>
              <a:effectLst/>
            </c:spPr>
            <c:trendlineType val="linear"/>
            <c:dispRSqr val="0"/>
            <c:dispEq val="0"/>
          </c:trendline>
          <c:cat>
            <c:numRef>
              <c:f>'[Forest Fires Data Sets Complete.xlsx]Sheet5'!$O$4:$O$23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Complete.xlsx]Sheet5'!$Q$4:$Q$23</c:f>
              <c:numCache>
                <c:formatCode>General</c:formatCode>
                <c:ptCount val="20"/>
                <c:pt idx="1">
                  <c:v>81.400000000000006</c:v>
                </c:pt>
                <c:pt idx="6">
                  <c:v>83.6</c:v>
                </c:pt>
                <c:pt idx="8">
                  <c:v>80.48</c:v>
                </c:pt>
                <c:pt idx="13">
                  <c:v>75.2</c:v>
                </c:pt>
                <c:pt idx="18">
                  <c:v>79.23</c:v>
                </c:pt>
              </c:numCache>
            </c:numRef>
          </c:val>
          <c:extLst>
            <c:ext xmlns:c16="http://schemas.microsoft.com/office/drawing/2014/chart" uri="{C3380CC4-5D6E-409C-BE32-E72D297353CC}">
              <c16:uniqueId val="{00000002-3301-4E99-8685-CBB531A75A79}"/>
            </c:ext>
          </c:extLst>
        </c:ser>
        <c:dLbls>
          <c:showLegendKey val="0"/>
          <c:showVal val="0"/>
          <c:showCatName val="0"/>
          <c:showSerName val="0"/>
          <c:showPercent val="0"/>
          <c:showBubbleSize val="0"/>
        </c:dLbls>
        <c:gapWidth val="219"/>
        <c:overlap val="-27"/>
        <c:axId val="549323312"/>
        <c:axId val="549321016"/>
      </c:barChart>
      <c:catAx>
        <c:axId val="54932331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layout>
            <c:manualLayout>
              <c:xMode val="edge"/>
              <c:yMode val="edge"/>
              <c:x val="0.53510264611630109"/>
              <c:y val="0.88091782470184099"/>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9321016"/>
        <c:crosses val="autoZero"/>
        <c:auto val="1"/>
        <c:lblAlgn val="ctr"/>
        <c:lblOffset val="100"/>
        <c:noMultiLvlLbl val="0"/>
      </c:catAx>
      <c:valAx>
        <c:axId val="549321016"/>
        <c:scaling>
          <c:orientation val="minMax"/>
          <c:max val="10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Parlimentary</a:t>
                </a:r>
                <a:r>
                  <a:rPr lang="en-US" baseline="0"/>
                  <a:t> Turnout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9323312"/>
        <c:crosses val="autoZero"/>
        <c:crossBetween val="between"/>
      </c:valAx>
      <c:valAx>
        <c:axId val="102132968"/>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2133296"/>
        <c:crosses val="max"/>
        <c:crossBetween val="between"/>
      </c:valAx>
      <c:catAx>
        <c:axId val="102133296"/>
        <c:scaling>
          <c:orientation val="minMax"/>
        </c:scaling>
        <c:delete val="1"/>
        <c:axPos val="b"/>
        <c:numFmt formatCode="General" sourceLinked="1"/>
        <c:majorTickMark val="out"/>
        <c:minorTickMark val="none"/>
        <c:tickLblPos val="nextTo"/>
        <c:crossAx val="102132968"/>
        <c:crosses val="autoZero"/>
        <c:auto val="1"/>
        <c:lblAlgn val="ctr"/>
        <c:lblOffset val="100"/>
        <c:noMultiLvlLbl val="0"/>
      </c:catAx>
      <c:spPr>
        <a:noFill/>
        <a:ln>
          <a:noFill/>
        </a:ln>
        <a:effectLst/>
      </c:spPr>
    </c:plotArea>
    <c:legend>
      <c:legendPos val="b"/>
      <c:layout>
        <c:manualLayout>
          <c:xMode val="edge"/>
          <c:yMode val="edge"/>
          <c:x val="0.2293088867343826"/>
          <c:y val="0.933194306768661"/>
          <c:w val="0.54138207551443873"/>
          <c:h val="6.6805693231338961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28575" cap="flat" cmpd="sng" algn="ctr">
      <a:solidFill>
        <a:schemeClr val="tx1"/>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Politics</a:t>
            </a:r>
            <a:r>
              <a:rPr lang="en-US" baseline="0"/>
              <a:t> and France's Wildfires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8.984521326242334E-2"/>
          <c:y val="0.16056277056277057"/>
          <c:w val="0.82263654244890028"/>
          <c:h val="0.59037495313085864"/>
        </c:manualLayout>
      </c:layout>
      <c:areaChart>
        <c:grouping val="stacked"/>
        <c:varyColors val="0"/>
        <c:ser>
          <c:idx val="0"/>
          <c:order val="0"/>
          <c:tx>
            <c:strRef>
              <c:f>'[Forest Fires Data Sets Complete.xlsx]Sheet4'!$O$3</c:f>
              <c:strCache>
                <c:ptCount val="1"/>
                <c:pt idx="0">
                  <c:v>Burned Forest</c:v>
                </c:pt>
              </c:strCache>
            </c:strRef>
          </c:tx>
          <c:spPr>
            <a:solidFill>
              <a:schemeClr val="accent1"/>
            </a:solidFill>
            <a:ln>
              <a:noFill/>
            </a:ln>
            <a:effectLst/>
          </c:spPr>
          <c:cat>
            <c:numRef>
              <c:f>'[Forest Fires Data Sets Complete.xlsx]Sheet4'!$N$4:$N$23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Complete.xlsx]Sheet4'!$O$4:$O$23</c:f>
              <c:numCache>
                <c:formatCode>General</c:formatCode>
                <c:ptCount val="20"/>
                <c:pt idx="0">
                  <c:v>0.15092139902218876</c:v>
                </c:pt>
                <c:pt idx="1">
                  <c:v>0.12938448038109565</c:v>
                </c:pt>
                <c:pt idx="2">
                  <c:v>0.1890435000626802</c:v>
                </c:pt>
                <c:pt idx="3">
                  <c:v>0.45930801053027454</c:v>
                </c:pt>
                <c:pt idx="4">
                  <c:v>8.594082988592204E-2</c:v>
                </c:pt>
                <c:pt idx="5">
                  <c:v>0.13874263507584306</c:v>
                </c:pt>
                <c:pt idx="6">
                  <c:v>4.9166353265638708E-2</c:v>
                </c:pt>
                <c:pt idx="7">
                  <c:v>5.3716936191550706E-2</c:v>
                </c:pt>
                <c:pt idx="8">
                  <c:v>3.7614391375203712E-2</c:v>
                </c:pt>
                <c:pt idx="9">
                  <c:v>0.10655634950482637</c:v>
                </c:pt>
                <c:pt idx="10">
                  <c:v>6.4560611758806563E-2</c:v>
                </c:pt>
                <c:pt idx="11">
                  <c:v>5.8919393255609881E-2</c:v>
                </c:pt>
                <c:pt idx="12">
                  <c:v>5.3904976808323929E-2</c:v>
                </c:pt>
                <c:pt idx="13">
                  <c:v>2.2615018177259621E-2</c:v>
                </c:pt>
                <c:pt idx="14">
                  <c:v>4.6966278049392005E-2</c:v>
                </c:pt>
                <c:pt idx="15">
                  <c:v>6.9951109439638962E-2</c:v>
                </c:pt>
                <c:pt idx="16">
                  <c:v>0.10087125485771593</c:v>
                </c:pt>
                <c:pt idx="17">
                  <c:v>0.16533784630813589</c:v>
                </c:pt>
                <c:pt idx="18">
                  <c:v>3.2117337344866492E-2</c:v>
                </c:pt>
                <c:pt idx="19">
                  <c:v>0.14715431866616521</c:v>
                </c:pt>
              </c:numCache>
            </c:numRef>
          </c:val>
          <c:extLst>
            <c:ext xmlns:c16="http://schemas.microsoft.com/office/drawing/2014/chart" uri="{C3380CC4-5D6E-409C-BE32-E72D297353CC}">
              <c16:uniqueId val="{00000000-85FB-4BD3-8C37-F2B3445FB87D}"/>
            </c:ext>
          </c:extLst>
        </c:ser>
        <c:dLbls>
          <c:showLegendKey val="0"/>
          <c:showVal val="0"/>
          <c:showCatName val="0"/>
          <c:showSerName val="0"/>
          <c:showPercent val="0"/>
          <c:showBubbleSize val="0"/>
        </c:dLbls>
        <c:axId val="496986496"/>
        <c:axId val="496986168"/>
      </c:areaChart>
      <c:barChart>
        <c:barDir val="col"/>
        <c:grouping val="clustered"/>
        <c:varyColors val="0"/>
        <c:ser>
          <c:idx val="1"/>
          <c:order val="1"/>
          <c:tx>
            <c:strRef>
              <c:f>'[Forest Fires Data Sets Complete.xlsx]Sheet4'!$P$3</c:f>
              <c:strCache>
                <c:ptCount val="1"/>
                <c:pt idx="0">
                  <c:v>Turnout</c:v>
                </c:pt>
              </c:strCache>
            </c:strRef>
          </c:tx>
          <c:spPr>
            <a:solidFill>
              <a:schemeClr val="accent2"/>
            </a:solidFill>
            <a:ln>
              <a:noFill/>
            </a:ln>
            <a:effectLst/>
          </c:spPr>
          <c:invertIfNegative val="0"/>
          <c:trendline>
            <c:spPr>
              <a:ln w="19050" cap="rnd">
                <a:solidFill>
                  <a:schemeClr val="accent2"/>
                </a:solidFill>
                <a:prstDash val="sysDot"/>
              </a:ln>
              <a:effectLst/>
            </c:spPr>
            <c:trendlineType val="linear"/>
            <c:dispRSqr val="0"/>
            <c:dispEq val="0"/>
          </c:trendline>
          <c:cat>
            <c:numRef>
              <c:f>'[Forest Fires Data Sets Complete.xlsx]Sheet4'!$N$4:$N$23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Complete.xlsx]Sheet4'!$P$4:$P$23</c:f>
              <c:numCache>
                <c:formatCode>General</c:formatCode>
                <c:ptCount val="20"/>
                <c:pt idx="2">
                  <c:v>64.400000000000006</c:v>
                </c:pt>
                <c:pt idx="7">
                  <c:v>60.4</c:v>
                </c:pt>
                <c:pt idx="12">
                  <c:v>57.2</c:v>
                </c:pt>
                <c:pt idx="17">
                  <c:v>48.7</c:v>
                </c:pt>
              </c:numCache>
            </c:numRef>
          </c:val>
          <c:extLst>
            <c:ext xmlns:c16="http://schemas.microsoft.com/office/drawing/2014/chart" uri="{C3380CC4-5D6E-409C-BE32-E72D297353CC}">
              <c16:uniqueId val="{00000002-85FB-4BD3-8C37-F2B3445FB87D}"/>
            </c:ext>
          </c:extLst>
        </c:ser>
        <c:dLbls>
          <c:showLegendKey val="0"/>
          <c:showVal val="0"/>
          <c:showCatName val="0"/>
          <c:showSerName val="0"/>
          <c:showPercent val="0"/>
          <c:showBubbleSize val="0"/>
        </c:dLbls>
        <c:gapWidth val="219"/>
        <c:overlap val="-27"/>
        <c:axId val="496995352"/>
        <c:axId val="496990104"/>
      </c:barChart>
      <c:catAx>
        <c:axId val="4969953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layout>
            <c:manualLayout>
              <c:xMode val="edge"/>
              <c:yMode val="edge"/>
              <c:x val="0.52092784344677667"/>
              <c:y val="0.84813784640556289"/>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6990104"/>
        <c:crosses val="autoZero"/>
        <c:auto val="1"/>
        <c:lblAlgn val="ctr"/>
        <c:lblOffset val="100"/>
        <c:noMultiLvlLbl val="0"/>
      </c:catAx>
      <c:valAx>
        <c:axId val="496990104"/>
        <c:scaling>
          <c:orientation val="minMax"/>
          <c:max val="10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Parlimentary</a:t>
                </a:r>
                <a:r>
                  <a:rPr lang="en-US" baseline="0"/>
                  <a:t> Turnout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6995352"/>
        <c:crosses val="autoZero"/>
        <c:crossBetween val="between"/>
      </c:valAx>
      <c:valAx>
        <c:axId val="496986168"/>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6986496"/>
        <c:crosses val="max"/>
        <c:crossBetween val="between"/>
      </c:valAx>
      <c:catAx>
        <c:axId val="496986496"/>
        <c:scaling>
          <c:orientation val="minMax"/>
        </c:scaling>
        <c:delete val="1"/>
        <c:axPos val="b"/>
        <c:numFmt formatCode="General" sourceLinked="1"/>
        <c:majorTickMark val="out"/>
        <c:minorTickMark val="none"/>
        <c:tickLblPos val="nextTo"/>
        <c:crossAx val="496986168"/>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28575" cap="flat" cmpd="sng" algn="ctr">
      <a:solidFill>
        <a:schemeClr val="tx1"/>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Politics and Spanish</a:t>
            </a:r>
            <a:r>
              <a:rPr lang="en-US" baseline="0"/>
              <a:t> Forest Fires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8.7853312384960053E-2"/>
          <c:y val="0.13616005873715126"/>
          <c:w val="0.81793398199787448"/>
          <c:h val="0.648959670239458"/>
        </c:manualLayout>
      </c:layout>
      <c:areaChart>
        <c:grouping val="stacked"/>
        <c:varyColors val="0"/>
        <c:ser>
          <c:idx val="0"/>
          <c:order val="0"/>
          <c:tx>
            <c:strRef>
              <c:f>'[Forest Fires Data Sets Complete.xlsx]Sheet3'!$M$3</c:f>
              <c:strCache>
                <c:ptCount val="1"/>
                <c:pt idx="0">
                  <c:v>Burned Forest</c:v>
                </c:pt>
              </c:strCache>
            </c:strRef>
          </c:tx>
          <c:spPr>
            <a:solidFill>
              <a:schemeClr val="accent1"/>
            </a:solidFill>
            <a:ln>
              <a:noFill/>
            </a:ln>
            <a:effectLst/>
          </c:spPr>
          <c:cat>
            <c:numRef>
              <c:f>'[Forest Fires Data Sets Complete.xlsx]Sheet3'!$L$4:$L$23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Complete.xlsx]Sheet3'!$M$4:$M$23</c:f>
              <c:numCache>
                <c:formatCode>General</c:formatCode>
                <c:ptCount val="20"/>
                <c:pt idx="0">
                  <c:v>1.0377262972541683</c:v>
                </c:pt>
                <c:pt idx="1">
                  <c:v>0.51338249050789631</c:v>
                </c:pt>
                <c:pt idx="2">
                  <c:v>0.59133879931766908</c:v>
                </c:pt>
                <c:pt idx="3">
                  <c:v>0.81534144059869029</c:v>
                </c:pt>
                <c:pt idx="4">
                  <c:v>0.73841963352225837</c:v>
                </c:pt>
                <c:pt idx="5">
                  <c:v>1.0383370934903429</c:v>
                </c:pt>
                <c:pt idx="6">
                  <c:v>0.85481208386067242</c:v>
                </c:pt>
                <c:pt idx="7">
                  <c:v>0.4739008419083256</c:v>
                </c:pt>
                <c:pt idx="8">
                  <c:v>0.27690529907004902</c:v>
                </c:pt>
                <c:pt idx="9">
                  <c:v>0.66083750619050241</c:v>
                </c:pt>
                <c:pt idx="10">
                  <c:v>0.30138116986738567</c:v>
                </c:pt>
                <c:pt idx="11">
                  <c:v>0.56215814670115005</c:v>
                </c:pt>
                <c:pt idx="12">
                  <c:v>1.244290981125846</c:v>
                </c:pt>
                <c:pt idx="13">
                  <c:v>0.32457491883563527</c:v>
                </c:pt>
                <c:pt idx="14">
                  <c:v>0.2570901887415396</c:v>
                </c:pt>
                <c:pt idx="15">
                  <c:v>0.56787541957849552</c:v>
                </c:pt>
                <c:pt idx="16">
                  <c:v>0.36216915203873873</c:v>
                </c:pt>
                <c:pt idx="17">
                  <c:v>0.98076266989489913</c:v>
                </c:pt>
                <c:pt idx="18">
                  <c:v>0.13845815220381885</c:v>
                </c:pt>
                <c:pt idx="19">
                  <c:v>0.46202057998129087</c:v>
                </c:pt>
              </c:numCache>
            </c:numRef>
          </c:val>
          <c:extLst>
            <c:ext xmlns:c16="http://schemas.microsoft.com/office/drawing/2014/chart" uri="{C3380CC4-5D6E-409C-BE32-E72D297353CC}">
              <c16:uniqueId val="{00000000-927F-4072-BED7-19668C62030B}"/>
            </c:ext>
          </c:extLst>
        </c:ser>
        <c:dLbls>
          <c:showLegendKey val="0"/>
          <c:showVal val="0"/>
          <c:showCatName val="0"/>
          <c:showSerName val="0"/>
          <c:showPercent val="0"/>
          <c:showBubbleSize val="0"/>
        </c:dLbls>
        <c:axId val="505749792"/>
        <c:axId val="505755696"/>
      </c:areaChart>
      <c:barChart>
        <c:barDir val="col"/>
        <c:grouping val="clustered"/>
        <c:varyColors val="0"/>
        <c:ser>
          <c:idx val="1"/>
          <c:order val="1"/>
          <c:tx>
            <c:strRef>
              <c:f>'[Forest Fires Data Sets Complete.xlsx]Sheet3'!$N$3</c:f>
              <c:strCache>
                <c:ptCount val="1"/>
                <c:pt idx="0">
                  <c:v>Turnout</c:v>
                </c:pt>
              </c:strCache>
            </c:strRef>
          </c:tx>
          <c:spPr>
            <a:solidFill>
              <a:schemeClr val="accent2"/>
            </a:solidFill>
            <a:ln>
              <a:noFill/>
            </a:ln>
            <a:effectLst/>
          </c:spPr>
          <c:invertIfNegative val="0"/>
          <c:trendline>
            <c:spPr>
              <a:ln w="19050" cap="rnd">
                <a:solidFill>
                  <a:schemeClr val="accent2"/>
                </a:solidFill>
                <a:prstDash val="sysDot"/>
              </a:ln>
              <a:effectLst/>
            </c:spPr>
            <c:trendlineType val="linear"/>
            <c:dispRSqr val="0"/>
            <c:dispEq val="0"/>
          </c:trendline>
          <c:cat>
            <c:numRef>
              <c:f>'[Forest Fires Data Sets Complete.xlsx]Sheet3'!$L$4:$L$23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'[Forest Fires Data Sets Complete.xlsx]Sheet3'!$N$4:$N$23</c:f>
              <c:numCache>
                <c:formatCode>General</c:formatCode>
                <c:ptCount val="20"/>
                <c:pt idx="0">
                  <c:v>68.7</c:v>
                </c:pt>
                <c:pt idx="4">
                  <c:v>75.7</c:v>
                </c:pt>
                <c:pt idx="8">
                  <c:v>73.8</c:v>
                </c:pt>
                <c:pt idx="11">
                  <c:v>68.900000000000006</c:v>
                </c:pt>
                <c:pt idx="15">
                  <c:v>69.7</c:v>
                </c:pt>
                <c:pt idx="16">
                  <c:v>66.5</c:v>
                </c:pt>
                <c:pt idx="19">
                  <c:v>71.8</c:v>
                </c:pt>
              </c:numCache>
            </c:numRef>
          </c:val>
          <c:extLst>
            <c:ext xmlns:c16="http://schemas.microsoft.com/office/drawing/2014/chart" uri="{C3380CC4-5D6E-409C-BE32-E72D297353CC}">
              <c16:uniqueId val="{00000002-927F-4072-BED7-19668C62030B}"/>
            </c:ext>
          </c:extLst>
        </c:ser>
        <c:dLbls>
          <c:showLegendKey val="0"/>
          <c:showVal val="0"/>
          <c:showCatName val="0"/>
          <c:showSerName val="0"/>
          <c:showPercent val="0"/>
          <c:showBubbleSize val="0"/>
        </c:dLbls>
        <c:gapWidth val="150"/>
        <c:axId val="306539672"/>
        <c:axId val="306540328"/>
      </c:barChart>
      <c:catAx>
        <c:axId val="30653967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layout>
            <c:manualLayout>
              <c:xMode val="edge"/>
              <c:yMode val="edge"/>
              <c:x val="0.5119012180070257"/>
              <c:y val="0.87460861169886805"/>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6540328"/>
        <c:crosses val="autoZero"/>
        <c:auto val="1"/>
        <c:lblAlgn val="ctr"/>
        <c:lblOffset val="100"/>
        <c:noMultiLvlLbl val="0"/>
      </c:catAx>
      <c:valAx>
        <c:axId val="306540328"/>
        <c:scaling>
          <c:orientation val="minMax"/>
          <c:max val="100"/>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Parlimentary</a:t>
                </a:r>
                <a:r>
                  <a:rPr lang="en-US" baseline="0"/>
                  <a:t>  Turnout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6539672"/>
        <c:crosses val="autoZero"/>
        <c:crossBetween val="between"/>
      </c:valAx>
      <c:valAx>
        <c:axId val="505755696"/>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5749792"/>
        <c:crosses val="max"/>
        <c:crossBetween val="between"/>
      </c:valAx>
      <c:catAx>
        <c:axId val="505749792"/>
        <c:scaling>
          <c:orientation val="minMax"/>
        </c:scaling>
        <c:delete val="1"/>
        <c:axPos val="b"/>
        <c:numFmt formatCode="General" sourceLinked="1"/>
        <c:majorTickMark val="out"/>
        <c:minorTickMark val="none"/>
        <c:tickLblPos val="nextTo"/>
        <c:crossAx val="505755696"/>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28575" cap="flat" cmpd="sng" algn="ctr">
      <a:solidFill>
        <a:schemeClr val="tx1"/>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Voter</a:t>
            </a:r>
            <a:r>
              <a:rPr lang="en-US" baseline="0"/>
              <a:t> Turnout in Souther Europe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'[Forest Fires Data Sets Complete.xlsx]Sheet7'!$B$2</c:f>
              <c:strCache>
                <c:ptCount val="1"/>
                <c:pt idx="0">
                  <c:v>Portugal</c:v>
                </c:pt>
              </c:strCache>
            </c:strRef>
          </c:tx>
          <c:spPr>
            <a:ln w="28575" cap="rnd">
              <a:solidFill>
                <a:srgbClr val="7030A0"/>
              </a:solidFill>
              <a:round/>
            </a:ln>
            <a:effectLst/>
          </c:spPr>
          <c:marker>
            <c:symbol val="none"/>
          </c:marker>
          <c:cat>
            <c:numRef>
              <c:f>'[Forest Fires Data Sets Complete.xlsx]Sheet7'!$A$3:$A$23</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'[Forest Fires Data Sets Complete.xlsx]Sheet7'!$B$3:$B$23</c:f>
              <c:numCache>
                <c:formatCode>General</c:formatCode>
                <c:ptCount val="21"/>
                <c:pt idx="0">
                  <c:v>61.1</c:v>
                </c:pt>
                <c:pt idx="1">
                  <c:v>#N/A</c:v>
                </c:pt>
                <c:pt idx="2">
                  <c:v>#N/A</c:v>
                </c:pt>
                <c:pt idx="3">
                  <c:v>61.5</c:v>
                </c:pt>
                <c:pt idx="4">
                  <c:v>#N/A</c:v>
                </c:pt>
                <c:pt idx="5">
                  <c:v>64.3</c:v>
                </c:pt>
                <c:pt idx="6">
                  <c:v>#N/A</c:v>
                </c:pt>
                <c:pt idx="7">
                  <c:v>#N/A</c:v>
                </c:pt>
                <c:pt idx="8">
                  <c:v>#N/A</c:v>
                </c:pt>
                <c:pt idx="9">
                  <c:v>#N/A</c:v>
                </c:pt>
                <c:pt idx="10">
                  <c:v>59.7</c:v>
                </c:pt>
                <c:pt idx="11">
                  <c:v>#N/A</c:v>
                </c:pt>
                <c:pt idx="12">
                  <c:v>58</c:v>
                </c:pt>
                <c:pt idx="13">
                  <c:v>#N/A</c:v>
                </c:pt>
                <c:pt idx="14">
                  <c:v>#N/A</c:v>
                </c:pt>
                <c:pt idx="15">
                  <c:v>#N/A</c:v>
                </c:pt>
                <c:pt idx="16">
                  <c:v>55.8</c:v>
                </c:pt>
                <c:pt idx="17">
                  <c:v>#N/A</c:v>
                </c:pt>
                <c:pt idx="18">
                  <c:v>#N/A</c:v>
                </c:pt>
                <c:pt idx="19">
                  <c:v>#N/A</c:v>
                </c:pt>
                <c:pt idx="20">
                  <c:v>48.6</c:v>
                </c:pt>
              </c:numCache>
            </c:numRef>
          </c:val>
          <c:smooth val="0"/>
          <c:extLst>
            <c:ext xmlns:c16="http://schemas.microsoft.com/office/drawing/2014/chart" uri="{C3380CC4-5D6E-409C-BE32-E72D297353CC}">
              <c16:uniqueId val="{00000000-B174-472A-BE1E-CD295782B556}"/>
            </c:ext>
          </c:extLst>
        </c:ser>
        <c:ser>
          <c:idx val="1"/>
          <c:order val="1"/>
          <c:tx>
            <c:strRef>
              <c:f>'[Forest Fires Data Sets Complete.xlsx]Sheet7'!$C$2</c:f>
              <c:strCache>
                <c:ptCount val="1"/>
                <c:pt idx="0">
                  <c:v>Spain</c:v>
                </c:pt>
              </c:strCache>
            </c:strRef>
          </c:tx>
          <c:spPr>
            <a:ln w="28575" cap="rnd">
              <a:solidFill>
                <a:srgbClr val="FFFF00"/>
              </a:solidFill>
              <a:round/>
            </a:ln>
            <a:effectLst/>
          </c:spPr>
          <c:marker>
            <c:symbol val="none"/>
          </c:marker>
          <c:cat>
            <c:numRef>
              <c:f>'[Forest Fires Data Sets Complete.xlsx]Sheet7'!$A$3:$A$23</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'[Forest Fires Data Sets Complete.xlsx]Sheet7'!$C$3:$C$23</c:f>
              <c:numCache>
                <c:formatCode>General</c:formatCode>
                <c:ptCount val="21"/>
                <c:pt idx="0">
                  <c:v>#N/A</c:v>
                </c:pt>
                <c:pt idx="1">
                  <c:v>68.7</c:v>
                </c:pt>
                <c:pt idx="2">
                  <c:v>#N/A</c:v>
                </c:pt>
                <c:pt idx="3">
                  <c:v>#N/A</c:v>
                </c:pt>
                <c:pt idx="4">
                  <c:v>#N/A</c:v>
                </c:pt>
                <c:pt idx="5">
                  <c:v>75.7</c:v>
                </c:pt>
                <c:pt idx="6">
                  <c:v>#N/A</c:v>
                </c:pt>
                <c:pt idx="7">
                  <c:v>#N/A</c:v>
                </c:pt>
                <c:pt idx="8">
                  <c:v>#N/A</c:v>
                </c:pt>
                <c:pt idx="9">
                  <c:v>73.8</c:v>
                </c:pt>
                <c:pt idx="10">
                  <c:v>#N/A</c:v>
                </c:pt>
                <c:pt idx="11">
                  <c:v>#N/A</c:v>
                </c:pt>
                <c:pt idx="12">
                  <c:v>68.900000000000006</c:v>
                </c:pt>
                <c:pt idx="13">
                  <c:v>#N/A</c:v>
                </c:pt>
                <c:pt idx="14">
                  <c:v>#N/A</c:v>
                </c:pt>
                <c:pt idx="15">
                  <c:v>#N/A</c:v>
                </c:pt>
                <c:pt idx="16">
                  <c:v>69.7</c:v>
                </c:pt>
                <c:pt idx="17">
                  <c:v>66.5</c:v>
                </c:pt>
                <c:pt idx="18">
                  <c:v>#N/A</c:v>
                </c:pt>
                <c:pt idx="19">
                  <c:v>#N/A</c:v>
                </c:pt>
                <c:pt idx="20">
                  <c:v>71.8</c:v>
                </c:pt>
              </c:numCache>
            </c:numRef>
          </c:val>
          <c:smooth val="0"/>
          <c:extLst>
            <c:ext xmlns:c16="http://schemas.microsoft.com/office/drawing/2014/chart" uri="{C3380CC4-5D6E-409C-BE32-E72D297353CC}">
              <c16:uniqueId val="{00000001-B174-472A-BE1E-CD295782B556}"/>
            </c:ext>
          </c:extLst>
        </c:ser>
        <c:ser>
          <c:idx val="2"/>
          <c:order val="2"/>
          <c:tx>
            <c:strRef>
              <c:f>'[Forest Fires Data Sets Complete.xlsx]Sheet7'!$D$2</c:f>
              <c:strCache>
                <c:ptCount val="1"/>
                <c:pt idx="0">
                  <c:v>France</c:v>
                </c:pt>
              </c:strCache>
            </c:strRef>
          </c:tx>
          <c:spPr>
            <a:ln w="28575" cap="rnd">
              <a:solidFill>
                <a:srgbClr val="FF0000"/>
              </a:solidFill>
              <a:round/>
            </a:ln>
            <a:effectLst/>
          </c:spPr>
          <c:marker>
            <c:symbol val="none"/>
          </c:marker>
          <c:cat>
            <c:numRef>
              <c:f>'[Forest Fires Data Sets Complete.xlsx]Sheet7'!$A$3:$A$23</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'[Forest Fires Data Sets Complete.xlsx]Sheet7'!$D$3:$D$23</c:f>
              <c:numCache>
                <c:formatCode>General</c:formatCode>
                <c:ptCount val="21"/>
                <c:pt idx="0">
                  <c:v>#N/A</c:v>
                </c:pt>
                <c:pt idx="1">
                  <c:v>#N/A</c:v>
                </c:pt>
                <c:pt idx="2">
                  <c:v>#N/A</c:v>
                </c:pt>
                <c:pt idx="3">
                  <c:v>64.400000000000006</c:v>
                </c:pt>
                <c:pt idx="4">
                  <c:v>#N/A</c:v>
                </c:pt>
                <c:pt idx="5">
                  <c:v>#N/A</c:v>
                </c:pt>
                <c:pt idx="6">
                  <c:v>#N/A</c:v>
                </c:pt>
                <c:pt idx="7">
                  <c:v>#N/A</c:v>
                </c:pt>
                <c:pt idx="8">
                  <c:v>60.4</c:v>
                </c:pt>
                <c:pt idx="9">
                  <c:v>#N/A</c:v>
                </c:pt>
                <c:pt idx="10">
                  <c:v>#N/A</c:v>
                </c:pt>
                <c:pt idx="11">
                  <c:v>#N/A</c:v>
                </c:pt>
                <c:pt idx="12">
                  <c:v>#N/A</c:v>
                </c:pt>
                <c:pt idx="13">
                  <c:v>57.2</c:v>
                </c:pt>
                <c:pt idx="14">
                  <c:v>#N/A</c:v>
                </c:pt>
                <c:pt idx="15">
                  <c:v>#N/A</c:v>
                </c:pt>
                <c:pt idx="16">
                  <c:v>#N/A</c:v>
                </c:pt>
                <c:pt idx="17">
                  <c:v>#N/A</c:v>
                </c:pt>
                <c:pt idx="18">
                  <c:v>48.7</c:v>
                </c:pt>
                <c:pt idx="19">
                  <c:v>#N/A</c:v>
                </c:pt>
                <c:pt idx="20">
                  <c:v>#N/A</c:v>
                </c:pt>
              </c:numCache>
            </c:numRef>
          </c:val>
          <c:smooth val="0"/>
          <c:extLst>
            <c:ext xmlns:c16="http://schemas.microsoft.com/office/drawing/2014/chart" uri="{C3380CC4-5D6E-409C-BE32-E72D297353CC}">
              <c16:uniqueId val="{00000002-B174-472A-BE1E-CD295782B556}"/>
            </c:ext>
          </c:extLst>
        </c:ser>
        <c:ser>
          <c:idx val="3"/>
          <c:order val="3"/>
          <c:tx>
            <c:strRef>
              <c:f>'[Forest Fires Data Sets Complete.xlsx]Sheet7'!$E$2</c:f>
              <c:strCache>
                <c:ptCount val="1"/>
                <c:pt idx="0">
                  <c:v>Italy</c:v>
                </c:pt>
              </c:strCache>
            </c:strRef>
          </c:tx>
          <c:spPr>
            <a:ln w="28575" cap="rnd">
              <a:solidFill>
                <a:schemeClr val="tx1"/>
              </a:solidFill>
              <a:round/>
            </a:ln>
            <a:effectLst/>
          </c:spPr>
          <c:marker>
            <c:symbol val="none"/>
          </c:marker>
          <c:cat>
            <c:numRef>
              <c:f>'[Forest Fires Data Sets Complete.xlsx]Sheet7'!$A$3:$A$23</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'[Forest Fires Data Sets Complete.xlsx]Sheet7'!$E$3:$E$23</c:f>
              <c:numCache>
                <c:formatCode>General</c:formatCode>
                <c:ptCount val="21"/>
                <c:pt idx="0">
                  <c:v>#N/A</c:v>
                </c:pt>
                <c:pt idx="1">
                  <c:v>#N/A</c:v>
                </c:pt>
                <c:pt idx="2">
                  <c:v>81.400000000000006</c:v>
                </c:pt>
                <c:pt idx="3">
                  <c:v>#N/A</c:v>
                </c:pt>
                <c:pt idx="4">
                  <c:v>#N/A</c:v>
                </c:pt>
                <c:pt idx="5">
                  <c:v>#N/A</c:v>
                </c:pt>
                <c:pt idx="6">
                  <c:v>#N/A</c:v>
                </c:pt>
                <c:pt idx="7">
                  <c:v>83.6</c:v>
                </c:pt>
                <c:pt idx="8">
                  <c:v>#N/A</c:v>
                </c:pt>
                <c:pt idx="9">
                  <c:v>80.48</c:v>
                </c:pt>
                <c:pt idx="10">
                  <c:v>#N/A</c:v>
                </c:pt>
                <c:pt idx="11">
                  <c:v>#N/A</c:v>
                </c:pt>
                <c:pt idx="12">
                  <c:v>#N/A</c:v>
                </c:pt>
                <c:pt idx="13">
                  <c:v>#N/A</c:v>
                </c:pt>
                <c:pt idx="14">
                  <c:v>75.2</c:v>
                </c:pt>
                <c:pt idx="15">
                  <c:v>#N/A</c:v>
                </c:pt>
                <c:pt idx="16">
                  <c:v>#N/A</c:v>
                </c:pt>
                <c:pt idx="17">
                  <c:v>#N/A</c:v>
                </c:pt>
                <c:pt idx="18">
                  <c:v>#N/A</c:v>
                </c:pt>
                <c:pt idx="19">
                  <c:v>79.23</c:v>
                </c:pt>
                <c:pt idx="20">
                  <c:v>#N/A</c:v>
                </c:pt>
              </c:numCache>
            </c:numRef>
          </c:val>
          <c:smooth val="0"/>
          <c:extLst>
            <c:ext xmlns:c16="http://schemas.microsoft.com/office/drawing/2014/chart" uri="{C3380CC4-5D6E-409C-BE32-E72D297353CC}">
              <c16:uniqueId val="{00000003-B174-472A-BE1E-CD295782B556}"/>
            </c:ext>
          </c:extLst>
        </c:ser>
        <c:ser>
          <c:idx val="4"/>
          <c:order val="4"/>
          <c:tx>
            <c:strRef>
              <c:f>'[Forest Fires Data Sets Complete.xlsx]Sheet7'!$F$2</c:f>
              <c:strCache>
                <c:ptCount val="1"/>
                <c:pt idx="0">
                  <c:v>Greece</c:v>
                </c:pt>
              </c:strCache>
            </c:strRef>
          </c:tx>
          <c:spPr>
            <a:ln w="28575" cap="rnd">
              <a:solidFill>
                <a:schemeClr val="accent5"/>
              </a:solidFill>
              <a:round/>
            </a:ln>
            <a:effectLst/>
          </c:spPr>
          <c:marker>
            <c:symbol val="none"/>
          </c:marker>
          <c:cat>
            <c:numRef>
              <c:f>'[Forest Fires Data Sets Complete.xlsx]Sheet7'!$A$3:$A$23</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'[Forest Fires Data Sets Complete.xlsx]Sheet7'!$F$3:$F$23</c:f>
              <c:numCache>
                <c:formatCode>General</c:formatCode>
                <c:ptCount val="21"/>
                <c:pt idx="0">
                  <c:v>#N/A</c:v>
                </c:pt>
                <c:pt idx="1">
                  <c:v>74.97</c:v>
                </c:pt>
                <c:pt idx="2">
                  <c:v>#N/A</c:v>
                </c:pt>
                <c:pt idx="3">
                  <c:v>#N/A</c:v>
                </c:pt>
                <c:pt idx="4">
                  <c:v>#N/A</c:v>
                </c:pt>
                <c:pt idx="5">
                  <c:v>76.599999999999994</c:v>
                </c:pt>
                <c:pt idx="6">
                  <c:v>#N/A</c:v>
                </c:pt>
                <c:pt idx="7">
                  <c:v>#N/A</c:v>
                </c:pt>
                <c:pt idx="8">
                  <c:v>74.400000000000006</c:v>
                </c:pt>
                <c:pt idx="9">
                  <c:v>#N/A</c:v>
                </c:pt>
                <c:pt idx="10">
                  <c:v>70.900000000000006</c:v>
                </c:pt>
                <c:pt idx="11">
                  <c:v>#N/A</c:v>
                </c:pt>
                <c:pt idx="12">
                  <c:v>#N/A</c:v>
                </c:pt>
                <c:pt idx="13">
                  <c:v>63.8</c:v>
                </c:pt>
                <c:pt idx="14">
                  <c:v>#N/A</c:v>
                </c:pt>
                <c:pt idx="15">
                  <c:v>#N/A</c:v>
                </c:pt>
                <c:pt idx="16">
                  <c:v>60.1</c:v>
                </c:pt>
                <c:pt idx="17">
                  <c:v>#N/A</c:v>
                </c:pt>
                <c:pt idx="18">
                  <c:v>#N/A</c:v>
                </c:pt>
                <c:pt idx="19">
                  <c:v>#N/A</c:v>
                </c:pt>
                <c:pt idx="20">
                  <c:v>57.91</c:v>
                </c:pt>
              </c:numCache>
            </c:numRef>
          </c:val>
          <c:smooth val="0"/>
          <c:extLst>
            <c:ext xmlns:c16="http://schemas.microsoft.com/office/drawing/2014/chart" uri="{C3380CC4-5D6E-409C-BE32-E72D297353CC}">
              <c16:uniqueId val="{00000004-B174-472A-BE1E-CD295782B556}"/>
            </c:ext>
          </c:extLst>
        </c:ser>
        <c:dLbls>
          <c:showLegendKey val="0"/>
          <c:showVal val="0"/>
          <c:showCatName val="0"/>
          <c:showSerName val="0"/>
          <c:showPercent val="0"/>
          <c:showBubbleSize val="0"/>
        </c:dLbls>
        <c:smooth val="0"/>
        <c:axId val="559150504"/>
        <c:axId val="559152800"/>
      </c:lineChart>
      <c:catAx>
        <c:axId val="55915050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9152800"/>
        <c:crosses val="autoZero"/>
        <c:auto val="1"/>
        <c:lblAlgn val="ctr"/>
        <c:lblOffset val="100"/>
        <c:noMultiLvlLbl val="0"/>
      </c:catAx>
      <c:valAx>
        <c:axId val="559152800"/>
        <c:scaling>
          <c:orientation val="minMax"/>
          <c:min val="4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Parlimentary</a:t>
                </a:r>
                <a:r>
                  <a:rPr lang="en-US" baseline="0"/>
                  <a:t> Election Voter Turnout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91505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28575" cap="flat" cmpd="sng" algn="ctr">
      <a:solidFill>
        <a:schemeClr val="tx1"/>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5212072308529"/>
          <c:y val="0"/>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6957272232862783"/>
          <c:y val="0.12139852786540486"/>
          <c:w val="0.78538223262632711"/>
          <c:h val="0.60700174702137"/>
        </c:manualLayout>
      </c:layout>
      <c:lineChart>
        <c:grouping val="standard"/>
        <c:varyColors val="0"/>
        <c:ser>
          <c:idx val="0"/>
          <c:order val="0"/>
          <c:tx>
            <c:strRef>
              <c:f>Sheet1!$M$3</c:f>
              <c:strCache>
                <c:ptCount val="1"/>
                <c:pt idx="0">
                  <c:v>Portugal</c:v>
                </c:pt>
              </c:strCache>
            </c:strRef>
          </c:tx>
          <c:spPr>
            <a:ln w="28575" cap="rnd">
              <a:solidFill>
                <a:schemeClr val="accent1"/>
              </a:solidFill>
              <a:round/>
            </a:ln>
            <a:effectLst/>
          </c:spPr>
          <c:marker>
            <c:symbol val="none"/>
          </c:marker>
          <c:trendline>
            <c:spPr>
              <a:ln w="19050" cap="rnd">
                <a:solidFill>
                  <a:schemeClr val="accent1"/>
                </a:solidFill>
                <a:prstDash val="sysDot"/>
              </a:ln>
              <a:effectLst/>
            </c:spPr>
            <c:trendlineType val="linear"/>
            <c:dispRSqr val="0"/>
            <c:dispEq val="0"/>
          </c:trendline>
          <c:cat>
            <c:numRef>
              <c:f>Sheet1!$L$4:$L$23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Sheet1!$M$4:$M$23</c:f>
              <c:numCache>
                <c:formatCode>General</c:formatCode>
                <c:ptCount val="20"/>
                <c:pt idx="0">
                  <c:v>4.618200231481481</c:v>
                </c:pt>
                <c:pt idx="1">
                  <c:v>3.2364004629629628</c:v>
                </c:pt>
                <c:pt idx="2">
                  <c:v>3.599855324074074</c:v>
                </c:pt>
                <c:pt idx="3">
                  <c:v>12.318460648148148</c:v>
                </c:pt>
                <c:pt idx="4">
                  <c:v>3.7482349537037032</c:v>
                </c:pt>
                <c:pt idx="5">
                  <c:v>9.78767361111111</c:v>
                </c:pt>
                <c:pt idx="6">
                  <c:v>2.1848958333333335</c:v>
                </c:pt>
                <c:pt idx="7">
                  <c:v>0.91001157407407407</c:v>
                </c:pt>
                <c:pt idx="8">
                  <c:v>0.49895833333333334</c:v>
                </c:pt>
                <c:pt idx="9">
                  <c:v>2.5293981481481485</c:v>
                </c:pt>
                <c:pt idx="10">
                  <c:v>3.8509837962962963</c:v>
                </c:pt>
                <c:pt idx="11">
                  <c:v>2.1357928240740742</c:v>
                </c:pt>
                <c:pt idx="12">
                  <c:v>3.1895543981481476</c:v>
                </c:pt>
                <c:pt idx="13">
                  <c:v>4.4200231481481485</c:v>
                </c:pt>
                <c:pt idx="14">
                  <c:v>0.57664930555555549</c:v>
                </c:pt>
                <c:pt idx="15">
                  <c:v>1.8646701388888889</c:v>
                </c:pt>
                <c:pt idx="16">
                  <c:v>4.6736689814814811</c:v>
                </c:pt>
                <c:pt idx="17">
                  <c:v>15.643229166666666</c:v>
                </c:pt>
                <c:pt idx="18">
                  <c:v>1.2898726851851852</c:v>
                </c:pt>
                <c:pt idx="19">
                  <c:v>1.2177083333333334</c:v>
                </c:pt>
              </c:numCache>
            </c:numRef>
          </c:val>
          <c:smooth val="0"/>
          <c:extLst>
            <c:ext xmlns:c16="http://schemas.microsoft.com/office/drawing/2014/chart" uri="{C3380CC4-5D6E-409C-BE32-E72D297353CC}">
              <c16:uniqueId val="{00000001-6F31-4434-8F94-857AD59ABFEA}"/>
            </c:ext>
          </c:extLst>
        </c:ser>
        <c:dLbls>
          <c:showLegendKey val="0"/>
          <c:showVal val="0"/>
          <c:showCatName val="0"/>
          <c:showSerName val="0"/>
          <c:showPercent val="0"/>
          <c:showBubbleSize val="0"/>
        </c:dLbls>
        <c:smooth val="0"/>
        <c:axId val="446290904"/>
        <c:axId val="446295168"/>
      </c:lineChart>
      <c:catAx>
        <c:axId val="44629090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6295168"/>
        <c:crosses val="autoZero"/>
        <c:auto val="1"/>
        <c:lblAlgn val="ctr"/>
        <c:lblOffset val="100"/>
        <c:noMultiLvlLbl val="0"/>
      </c:catAx>
      <c:valAx>
        <c:axId val="4462951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6290904"/>
        <c:crosses val="autoZero"/>
        <c:crossBetween val="between"/>
      </c:valAx>
      <c:spPr>
        <a:noFill/>
        <a:ln>
          <a:noFill/>
        </a:ln>
        <a:effectLst/>
      </c:spPr>
    </c:plotArea>
    <c:plotVisOnly val="1"/>
    <c:dispBlanksAs val="gap"/>
    <c:showDLblsOverMax val="0"/>
  </c:chart>
  <c:spPr>
    <a:solidFill>
      <a:schemeClr val="bg1"/>
    </a:solidFill>
    <a:ln w="25400" cap="flat" cmpd="sng" algn="ctr">
      <a:solidFill>
        <a:schemeClr val="tx1"/>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Spain</a:t>
            </a:r>
          </a:p>
        </c:rich>
      </c:tx>
      <c:layout>
        <c:manualLayout>
          <c:xMode val="edge"/>
          <c:yMode val="edge"/>
          <c:x val="0.50173526471774554"/>
          <c:y val="0"/>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7611051680900688"/>
          <c:y val="0.12139852786540486"/>
          <c:w val="0.77934605334689511"/>
          <c:h val="0.60700174702137"/>
        </c:manualLayout>
      </c:layout>
      <c:lineChart>
        <c:grouping val="standard"/>
        <c:varyColors val="0"/>
        <c:ser>
          <c:idx val="0"/>
          <c:order val="0"/>
          <c:tx>
            <c:strRef>
              <c:f>Sheet3!$M$3</c:f>
              <c:strCache>
                <c:ptCount val="1"/>
                <c:pt idx="0">
                  <c:v>Burned Forest</c:v>
                </c:pt>
              </c:strCache>
            </c:strRef>
          </c:tx>
          <c:spPr>
            <a:ln w="28575" cap="rnd">
              <a:solidFill>
                <a:schemeClr val="accent1"/>
              </a:solidFill>
              <a:round/>
            </a:ln>
            <a:effectLst/>
          </c:spPr>
          <c:marker>
            <c:symbol val="none"/>
          </c:marker>
          <c:trendline>
            <c:spPr>
              <a:ln w="19050" cap="rnd">
                <a:solidFill>
                  <a:schemeClr val="accent1"/>
                </a:solidFill>
                <a:prstDash val="sysDot"/>
              </a:ln>
              <a:effectLst/>
            </c:spPr>
            <c:trendlineType val="linear"/>
            <c:dispRSqr val="0"/>
            <c:dispEq val="0"/>
          </c:trendline>
          <c:cat>
            <c:numRef>
              <c:f>Sheet3!$L$4:$L$23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Sheet3!$M$4:$M$23</c:f>
              <c:numCache>
                <c:formatCode>General</c:formatCode>
                <c:ptCount val="20"/>
                <c:pt idx="0">
                  <c:v>1.0377262972541683</c:v>
                </c:pt>
                <c:pt idx="1">
                  <c:v>0.51338249050789631</c:v>
                </c:pt>
                <c:pt idx="2">
                  <c:v>0.59133879931766908</c:v>
                </c:pt>
                <c:pt idx="3">
                  <c:v>0.81534144059869029</c:v>
                </c:pt>
                <c:pt idx="4">
                  <c:v>0.73841963352225837</c:v>
                </c:pt>
                <c:pt idx="5">
                  <c:v>1.0383370934903429</c:v>
                </c:pt>
                <c:pt idx="6">
                  <c:v>0.85481208386067242</c:v>
                </c:pt>
                <c:pt idx="7">
                  <c:v>0.4739008419083256</c:v>
                </c:pt>
                <c:pt idx="8">
                  <c:v>0.27690529907004902</c:v>
                </c:pt>
                <c:pt idx="9">
                  <c:v>0.66083750619050241</c:v>
                </c:pt>
                <c:pt idx="10">
                  <c:v>0.30138116986738567</c:v>
                </c:pt>
                <c:pt idx="11">
                  <c:v>0.56215814670115005</c:v>
                </c:pt>
                <c:pt idx="12">
                  <c:v>1.244290981125846</c:v>
                </c:pt>
                <c:pt idx="13">
                  <c:v>0.32457491883563527</c:v>
                </c:pt>
                <c:pt idx="14">
                  <c:v>0.2570901887415396</c:v>
                </c:pt>
                <c:pt idx="15">
                  <c:v>0.56787541957849552</c:v>
                </c:pt>
                <c:pt idx="16">
                  <c:v>0.36216915203873873</c:v>
                </c:pt>
                <c:pt idx="17">
                  <c:v>0.98076266989489913</c:v>
                </c:pt>
                <c:pt idx="18">
                  <c:v>0.13845815220381885</c:v>
                </c:pt>
                <c:pt idx="19">
                  <c:v>0.46202057998129087</c:v>
                </c:pt>
              </c:numCache>
            </c:numRef>
          </c:val>
          <c:smooth val="0"/>
          <c:extLst>
            <c:ext xmlns:c16="http://schemas.microsoft.com/office/drawing/2014/chart" uri="{C3380CC4-5D6E-409C-BE32-E72D297353CC}">
              <c16:uniqueId val="{00000001-6265-41D4-9DCA-E1207A957BD0}"/>
            </c:ext>
          </c:extLst>
        </c:ser>
        <c:dLbls>
          <c:showLegendKey val="0"/>
          <c:showVal val="0"/>
          <c:showCatName val="0"/>
          <c:showSerName val="0"/>
          <c:showPercent val="0"/>
          <c:showBubbleSize val="0"/>
        </c:dLbls>
        <c:smooth val="0"/>
        <c:axId val="602526352"/>
        <c:axId val="602522744"/>
      </c:lineChart>
      <c:catAx>
        <c:axId val="6025263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02522744"/>
        <c:crosses val="autoZero"/>
        <c:auto val="1"/>
        <c:lblAlgn val="ctr"/>
        <c:lblOffset val="100"/>
        <c:noMultiLvlLbl val="0"/>
      </c:catAx>
      <c:valAx>
        <c:axId val="6025227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02526352"/>
        <c:crosses val="autoZero"/>
        <c:crossBetween val="between"/>
      </c:valAx>
      <c:spPr>
        <a:noFill/>
        <a:ln>
          <a:noFill/>
        </a:ln>
        <a:effectLst/>
      </c:spPr>
    </c:plotArea>
    <c:plotVisOnly val="1"/>
    <c:dispBlanksAs val="gap"/>
    <c:showDLblsOverMax val="0"/>
  </c:chart>
  <c:spPr>
    <a:solidFill>
      <a:schemeClr val="bg1"/>
    </a:solidFill>
    <a:ln w="25400" cap="flat" cmpd="sng" algn="ctr">
      <a:solidFill>
        <a:schemeClr val="tx1"/>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France</a:t>
            </a:r>
          </a:p>
        </c:rich>
      </c:tx>
      <c:layout>
        <c:manualLayout>
          <c:xMode val="edge"/>
          <c:yMode val="edge"/>
          <c:x val="0.40395213310200639"/>
          <c:y val="0"/>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7611051680900688"/>
          <c:y val="0.18060000000000001"/>
          <c:w val="0.76056823405548879"/>
          <c:h val="0.57501154855643044"/>
        </c:manualLayout>
      </c:layout>
      <c:lineChart>
        <c:grouping val="standard"/>
        <c:varyColors val="0"/>
        <c:ser>
          <c:idx val="0"/>
          <c:order val="0"/>
          <c:tx>
            <c:strRef>
              <c:f>Sheet4!$O$3</c:f>
              <c:strCache>
                <c:ptCount val="1"/>
                <c:pt idx="0">
                  <c:v>Burned Forest</c:v>
                </c:pt>
              </c:strCache>
            </c:strRef>
          </c:tx>
          <c:spPr>
            <a:ln w="28575" cap="rnd">
              <a:solidFill>
                <a:schemeClr val="accent1"/>
              </a:solidFill>
              <a:round/>
            </a:ln>
            <a:effectLst/>
          </c:spPr>
          <c:marker>
            <c:symbol val="none"/>
          </c:marker>
          <c:trendline>
            <c:spPr>
              <a:ln w="19050" cap="rnd">
                <a:solidFill>
                  <a:schemeClr val="accent1"/>
                </a:solidFill>
                <a:prstDash val="sysDot"/>
              </a:ln>
              <a:effectLst/>
            </c:spPr>
            <c:trendlineType val="linear"/>
            <c:dispRSqr val="0"/>
            <c:dispEq val="0"/>
          </c:trendline>
          <c:cat>
            <c:numRef>
              <c:f>Sheet4!$N$4:$N$23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Sheet4!$O$4:$O$23</c:f>
              <c:numCache>
                <c:formatCode>General</c:formatCode>
                <c:ptCount val="20"/>
                <c:pt idx="0">
                  <c:v>0.15092139902218876</c:v>
                </c:pt>
                <c:pt idx="1">
                  <c:v>0.12938448038109565</c:v>
                </c:pt>
                <c:pt idx="2">
                  <c:v>0.1890435000626802</c:v>
                </c:pt>
                <c:pt idx="3">
                  <c:v>0.45930801053027454</c:v>
                </c:pt>
                <c:pt idx="4">
                  <c:v>8.594082988592204E-2</c:v>
                </c:pt>
                <c:pt idx="5">
                  <c:v>0.13874263507584306</c:v>
                </c:pt>
                <c:pt idx="6">
                  <c:v>4.9166353265638708E-2</c:v>
                </c:pt>
                <c:pt idx="7">
                  <c:v>5.3716936191550706E-2</c:v>
                </c:pt>
                <c:pt idx="8">
                  <c:v>3.7614391375203712E-2</c:v>
                </c:pt>
                <c:pt idx="9">
                  <c:v>0.10655634950482637</c:v>
                </c:pt>
                <c:pt idx="10">
                  <c:v>6.4560611758806563E-2</c:v>
                </c:pt>
                <c:pt idx="11">
                  <c:v>5.8919393255609881E-2</c:v>
                </c:pt>
                <c:pt idx="12">
                  <c:v>5.3904976808323929E-2</c:v>
                </c:pt>
                <c:pt idx="13">
                  <c:v>2.2615018177259621E-2</c:v>
                </c:pt>
                <c:pt idx="14">
                  <c:v>4.6966278049392005E-2</c:v>
                </c:pt>
                <c:pt idx="15">
                  <c:v>6.9951109439638962E-2</c:v>
                </c:pt>
                <c:pt idx="16">
                  <c:v>0.10087125485771593</c:v>
                </c:pt>
                <c:pt idx="17">
                  <c:v>0.16533784630813589</c:v>
                </c:pt>
                <c:pt idx="18">
                  <c:v>3.2117337344866492E-2</c:v>
                </c:pt>
                <c:pt idx="19">
                  <c:v>0.14715431866616521</c:v>
                </c:pt>
              </c:numCache>
            </c:numRef>
          </c:val>
          <c:smooth val="0"/>
          <c:extLst>
            <c:ext xmlns:c16="http://schemas.microsoft.com/office/drawing/2014/chart" uri="{C3380CC4-5D6E-409C-BE32-E72D297353CC}">
              <c16:uniqueId val="{00000001-FCC0-46A3-812F-1EBA17EF4468}"/>
            </c:ext>
          </c:extLst>
        </c:ser>
        <c:dLbls>
          <c:showLegendKey val="0"/>
          <c:showVal val="0"/>
          <c:showCatName val="0"/>
          <c:showSerName val="0"/>
          <c:showPercent val="0"/>
          <c:showBubbleSize val="0"/>
        </c:dLbls>
        <c:smooth val="0"/>
        <c:axId val="560794336"/>
        <c:axId val="560794008"/>
      </c:lineChart>
      <c:catAx>
        <c:axId val="5607943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0794008"/>
        <c:crosses val="autoZero"/>
        <c:auto val="1"/>
        <c:lblAlgn val="ctr"/>
        <c:lblOffset val="100"/>
        <c:noMultiLvlLbl val="0"/>
      </c:catAx>
      <c:valAx>
        <c:axId val="5607940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endParaRPr lang="en-US"/>
              </a:p>
            </c:rich>
          </c:tx>
          <c:layout>
            <c:manualLayout>
              <c:xMode val="edge"/>
              <c:yMode val="edge"/>
              <c:x val="2.2271714922048998E-2"/>
              <c:y val="3.3933333333333357E-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0794336"/>
        <c:crosses val="autoZero"/>
        <c:crossBetween val="between"/>
      </c:valAx>
      <c:spPr>
        <a:noFill/>
        <a:ln>
          <a:noFill/>
        </a:ln>
        <a:effectLst/>
      </c:spPr>
    </c:plotArea>
    <c:plotVisOnly val="1"/>
    <c:dispBlanksAs val="gap"/>
    <c:showDLblsOverMax val="0"/>
  </c:chart>
  <c:spPr>
    <a:solidFill>
      <a:schemeClr val="bg1"/>
    </a:solidFill>
    <a:ln w="28575" cap="flat" cmpd="sng" algn="ctr">
      <a:solidFill>
        <a:schemeClr val="tx1"/>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Italy</a:t>
            </a:r>
          </a:p>
        </c:rich>
      </c:tx>
      <c:layout>
        <c:manualLayout>
          <c:xMode val="edge"/>
          <c:yMode val="edge"/>
          <c:x val="0.4994350282485876"/>
          <c:y val="0"/>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5297240387324465"/>
          <c:y val="0.10705256154357951"/>
          <c:w val="0.82819520441300765"/>
          <c:h val="0.66235350820668371"/>
        </c:manualLayout>
      </c:layout>
      <c:lineChart>
        <c:grouping val="standard"/>
        <c:varyColors val="0"/>
        <c:ser>
          <c:idx val="0"/>
          <c:order val="0"/>
          <c:tx>
            <c:strRef>
              <c:f>Sheet5!$P$3</c:f>
              <c:strCache>
                <c:ptCount val="1"/>
                <c:pt idx="0">
                  <c:v>Burned Forest</c:v>
                </c:pt>
              </c:strCache>
            </c:strRef>
          </c:tx>
          <c:spPr>
            <a:ln w="28575" cap="rnd">
              <a:solidFill>
                <a:schemeClr val="accent1"/>
              </a:solidFill>
              <a:round/>
            </a:ln>
            <a:effectLst/>
          </c:spPr>
          <c:marker>
            <c:symbol val="none"/>
          </c:marker>
          <c:trendline>
            <c:spPr>
              <a:ln w="19050" cap="rnd">
                <a:solidFill>
                  <a:schemeClr val="accent1"/>
                </a:solidFill>
                <a:prstDash val="sysDot"/>
              </a:ln>
              <a:effectLst/>
            </c:spPr>
            <c:trendlineType val="linear"/>
            <c:dispRSqr val="0"/>
            <c:dispEq val="0"/>
          </c:trendline>
          <c:cat>
            <c:numRef>
              <c:f>Sheet5!$O$4:$O$23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Sheet5!$P$4:$P$23</c:f>
              <c:numCache>
                <c:formatCode>General</c:formatCode>
                <c:ptCount val="20"/>
                <c:pt idx="0">
                  <c:v>1.2531205596240025</c:v>
                </c:pt>
                <c:pt idx="1">
                  <c:v>0.83535905563449564</c:v>
                </c:pt>
                <c:pt idx="2">
                  <c:v>0.44585200568368122</c:v>
                </c:pt>
                <c:pt idx="3">
                  <c:v>1.003442999234889</c:v>
                </c:pt>
                <c:pt idx="4">
                  <c:v>0.65773308558312393</c:v>
                </c:pt>
                <c:pt idx="5">
                  <c:v>0.52000218603126025</c:v>
                </c:pt>
                <c:pt idx="6">
                  <c:v>0.43661602360913759</c:v>
                </c:pt>
                <c:pt idx="7">
                  <c:v>2.4891135643239699</c:v>
                </c:pt>
                <c:pt idx="8">
                  <c:v>0.72498633730462336</c:v>
                </c:pt>
                <c:pt idx="9">
                  <c:v>0.80178161547710136</c:v>
                </c:pt>
                <c:pt idx="10">
                  <c:v>0.50865668379057816</c:v>
                </c:pt>
                <c:pt idx="11">
                  <c:v>0.7870149743141327</c:v>
                </c:pt>
                <c:pt idx="12">
                  <c:v>1.4298174663897694</c:v>
                </c:pt>
                <c:pt idx="13">
                  <c:v>0.317805224614712</c:v>
                </c:pt>
                <c:pt idx="14">
                  <c:v>0.39485189638211826</c:v>
                </c:pt>
                <c:pt idx="15">
                  <c:v>0.45372171822057061</c:v>
                </c:pt>
                <c:pt idx="16">
                  <c:v>0.52383867089299385</c:v>
                </c:pt>
                <c:pt idx="17">
                  <c:v>1.498557219368237</c:v>
                </c:pt>
                <c:pt idx="18">
                  <c:v>0.21293037490436115</c:v>
                </c:pt>
                <c:pt idx="19">
                  <c:v>0.39385725215870587</c:v>
                </c:pt>
              </c:numCache>
            </c:numRef>
          </c:val>
          <c:smooth val="0"/>
          <c:extLst>
            <c:ext xmlns:c16="http://schemas.microsoft.com/office/drawing/2014/chart" uri="{C3380CC4-5D6E-409C-BE32-E72D297353CC}">
              <c16:uniqueId val="{00000001-E66A-435C-83F7-643466EF0663}"/>
            </c:ext>
          </c:extLst>
        </c:ser>
        <c:dLbls>
          <c:showLegendKey val="0"/>
          <c:showVal val="0"/>
          <c:showCatName val="0"/>
          <c:showSerName val="0"/>
          <c:showPercent val="0"/>
          <c:showBubbleSize val="0"/>
        </c:dLbls>
        <c:smooth val="0"/>
        <c:axId val="560796960"/>
        <c:axId val="560802536"/>
      </c:lineChart>
      <c:catAx>
        <c:axId val="56079696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0802536"/>
        <c:crosses val="autoZero"/>
        <c:auto val="1"/>
        <c:lblAlgn val="ctr"/>
        <c:lblOffset val="100"/>
        <c:noMultiLvlLbl val="0"/>
      </c:catAx>
      <c:valAx>
        <c:axId val="5608025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endParaRPr lang="en-US"/>
              </a:p>
            </c:rich>
          </c:tx>
          <c:layout>
            <c:manualLayout>
              <c:xMode val="edge"/>
              <c:yMode val="edge"/>
              <c:x val="7.5329566854990581E-3"/>
              <c:y val="8.0439121756487042E-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0796960"/>
        <c:crosses val="autoZero"/>
        <c:crossBetween val="between"/>
      </c:valAx>
      <c:spPr>
        <a:noFill/>
        <a:ln>
          <a:noFill/>
        </a:ln>
        <a:effectLst/>
      </c:spPr>
    </c:plotArea>
    <c:plotVisOnly val="1"/>
    <c:dispBlanksAs val="gap"/>
    <c:showDLblsOverMax val="0"/>
  </c:chart>
  <c:spPr>
    <a:solidFill>
      <a:schemeClr val="bg1"/>
    </a:solidFill>
    <a:ln w="28575" cap="flat" cmpd="sng" algn="ctr">
      <a:solidFill>
        <a:schemeClr val="tx1"/>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Greece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474733958908731"/>
          <c:y val="0.13149895178197069"/>
          <c:w val="0.81258470142212613"/>
          <c:h val="0.67113067234520218"/>
        </c:manualLayout>
      </c:layout>
      <c:lineChart>
        <c:grouping val="standard"/>
        <c:varyColors val="0"/>
        <c:ser>
          <c:idx val="0"/>
          <c:order val="0"/>
          <c:tx>
            <c:strRef>
              <c:f>Sheet6!$U$3</c:f>
              <c:strCache>
                <c:ptCount val="1"/>
                <c:pt idx="0">
                  <c:v>% of Forested Area Burned</c:v>
                </c:pt>
              </c:strCache>
            </c:strRef>
          </c:tx>
          <c:spPr>
            <a:ln w="28575" cap="rnd">
              <a:solidFill>
                <a:schemeClr val="accent1"/>
              </a:solidFill>
              <a:round/>
            </a:ln>
            <a:effectLst/>
          </c:spPr>
          <c:marker>
            <c:symbol val="none"/>
          </c:marker>
          <c:trendline>
            <c:spPr>
              <a:ln w="19050" cap="rnd">
                <a:solidFill>
                  <a:schemeClr val="accent1"/>
                </a:solidFill>
                <a:prstDash val="sysDot"/>
              </a:ln>
              <a:effectLst/>
            </c:spPr>
            <c:trendlineType val="linear"/>
            <c:dispRSqr val="0"/>
            <c:dispEq val="0"/>
          </c:trendline>
          <c:cat>
            <c:numRef>
              <c:f>Sheet6!$T$4:$T$23</c:f>
              <c:numCache>
                <c:formatCode>General</c:formatCod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numCache>
            </c:numRef>
          </c:cat>
          <c:val>
            <c:numRef>
              <c:f>Sheet6!$U$4:$U$23</c:f>
              <c:numCache>
                <c:formatCode>General</c:formatCode>
                <c:ptCount val="20"/>
                <c:pt idx="0">
                  <c:v>3.7159360000000001</c:v>
                </c:pt>
                <c:pt idx="1">
                  <c:v>0.46684599999999998</c:v>
                </c:pt>
                <c:pt idx="2">
                  <c:v>0.15406</c:v>
                </c:pt>
                <c:pt idx="3">
                  <c:v>9.0109999999999996E-2</c:v>
                </c:pt>
                <c:pt idx="4">
                  <c:v>0.26305000000000001</c:v>
                </c:pt>
                <c:pt idx="5">
                  <c:v>0.16492000000000001</c:v>
                </c:pt>
                <c:pt idx="6">
                  <c:v>0.32439000000000001</c:v>
                </c:pt>
                <c:pt idx="7">
                  <c:v>5.7835999999999999</c:v>
                </c:pt>
                <c:pt idx="8">
                  <c:v>0.74690999999999996</c:v>
                </c:pt>
                <c:pt idx="9">
                  <c:v>0.90551000000000004</c:v>
                </c:pt>
                <c:pt idx="10">
                  <c:v>0.22975000000000001</c:v>
                </c:pt>
                <c:pt idx="11">
                  <c:v>0.74670999999999998</c:v>
                </c:pt>
                <c:pt idx="12">
                  <c:v>1.5353300000000001</c:v>
                </c:pt>
                <c:pt idx="13">
                  <c:v>1.1959</c:v>
                </c:pt>
                <c:pt idx="14">
                  <c:v>0.66220999999999997</c:v>
                </c:pt>
                <c:pt idx="15">
                  <c:v>0.66220999999999997</c:v>
                </c:pt>
                <c:pt idx="16">
                  <c:v>0.67998999999999998</c:v>
                </c:pt>
                <c:pt idx="17">
                  <c:v>0.34315000000000001</c:v>
                </c:pt>
                <c:pt idx="18">
                  <c:v>0.39621000000000001</c:v>
                </c:pt>
                <c:pt idx="19">
                  <c:v>0.23451</c:v>
                </c:pt>
              </c:numCache>
            </c:numRef>
          </c:val>
          <c:smooth val="0"/>
          <c:extLst>
            <c:ext xmlns:c16="http://schemas.microsoft.com/office/drawing/2014/chart" uri="{C3380CC4-5D6E-409C-BE32-E72D297353CC}">
              <c16:uniqueId val="{00000001-E4B7-4EFB-8D13-BB8B8724E20C}"/>
            </c:ext>
          </c:extLst>
        </c:ser>
        <c:dLbls>
          <c:showLegendKey val="0"/>
          <c:showVal val="0"/>
          <c:showCatName val="0"/>
          <c:showSerName val="0"/>
          <c:showPercent val="0"/>
          <c:showBubbleSize val="0"/>
        </c:dLbls>
        <c:smooth val="0"/>
        <c:axId val="560805488"/>
        <c:axId val="560806144"/>
      </c:lineChart>
      <c:catAx>
        <c:axId val="56080548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layout>
            <c:manualLayout>
              <c:xMode val="edge"/>
              <c:yMode val="edge"/>
              <c:x val="0.48143030323823899"/>
              <c:y val="0.9153679492893577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0806144"/>
        <c:crosses val="autoZero"/>
        <c:auto val="1"/>
        <c:lblAlgn val="ctr"/>
        <c:lblOffset val="100"/>
        <c:noMultiLvlLbl val="0"/>
      </c:catAx>
      <c:valAx>
        <c:axId val="5608061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Forested Area Burned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0805488"/>
        <c:crosses val="autoZero"/>
        <c:crossBetween val="between"/>
      </c:valAx>
      <c:spPr>
        <a:noFill/>
        <a:ln>
          <a:noFill/>
        </a:ln>
        <a:effectLst/>
      </c:spPr>
    </c:plotArea>
    <c:plotVisOnly val="1"/>
    <c:dispBlanksAs val="gap"/>
    <c:showDLblsOverMax val="0"/>
  </c:chart>
  <c:spPr>
    <a:solidFill>
      <a:schemeClr val="bg1"/>
    </a:solidFill>
    <a:ln w="28575" cap="flat" cmpd="sng" algn="ctr">
      <a:solidFill>
        <a:schemeClr val="tx1"/>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0.67096</cdr:x>
      <cdr:y>0.22506</cdr:y>
    </cdr:from>
    <cdr:to>
      <cdr:x>0.88642</cdr:x>
      <cdr:y>0.57541</cdr:y>
    </cdr:to>
    <cdr:sp macro="" textlink="">
      <cdr:nvSpPr>
        <cdr:cNvPr id="2" name="Oval 1"/>
        <cdr:cNvSpPr/>
      </cdr:nvSpPr>
      <cdr:spPr>
        <a:xfrm xmlns:a="http://schemas.openxmlformats.org/drawingml/2006/main">
          <a:off x="4366260" y="739140"/>
          <a:ext cx="1402080" cy="1150620"/>
        </a:xfrm>
        <a:prstGeom xmlns:a="http://schemas.openxmlformats.org/drawingml/2006/main" prst="ellipse">
          <a:avLst/>
        </a:prstGeom>
        <a:noFill xmlns:a="http://schemas.openxmlformats.org/drawingml/2006/mai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1608</Words>
  <Characters>9167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5</cp:revision>
  <dcterms:created xsi:type="dcterms:W3CDTF">2021-08-09T00:50:00Z</dcterms:created>
  <dcterms:modified xsi:type="dcterms:W3CDTF">2021-08-09T00:53:00Z</dcterms:modified>
</cp:coreProperties>
</file>