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B8E88" w14:textId="77777777" w:rsidR="008309DC" w:rsidRDefault="008309DC">
      <w:pPr>
        <w:rPr>
          <w:noProof/>
        </w:rPr>
      </w:pPr>
    </w:p>
    <w:p w14:paraId="1BC265E4" w14:textId="08A7AF52" w:rsidR="008309DC" w:rsidRDefault="008309DC" w:rsidP="008309DC">
      <w:pPr>
        <w:jc w:val="center"/>
        <w:rPr>
          <w:rFonts w:ascii="Times New Roman" w:hAnsi="Times New Roman" w:cs="Times New Roman"/>
          <w:sz w:val="40"/>
          <w:szCs w:val="40"/>
        </w:rPr>
      </w:pPr>
      <w:r>
        <w:rPr>
          <w:rFonts w:ascii="Times New Roman" w:hAnsi="Times New Roman" w:cs="Times New Roman"/>
          <w:sz w:val="40"/>
          <w:szCs w:val="40"/>
        </w:rPr>
        <w:t xml:space="preserve">Economies in Cyber Security: Scandinavia and the Baltics </w:t>
      </w:r>
    </w:p>
    <w:p w14:paraId="0BCB94ED" w14:textId="5934E9B7" w:rsidR="008309DC" w:rsidRDefault="008309DC" w:rsidP="008309DC">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6" w:history="1">
        <w:r w:rsidRPr="00070AFC">
          <w:rPr>
            <w:rStyle w:val="Hyperlink"/>
            <w:b/>
            <w:bCs/>
          </w:rPr>
          <w:t>https://globalaffairswithgregayres.com/</w:t>
        </w:r>
      </w:hyperlink>
      <w:r>
        <w:rPr>
          <w:b/>
          <w:bCs/>
        </w:rPr>
        <w:tab/>
      </w:r>
      <w:r>
        <w:rPr>
          <w:b/>
          <w:bCs/>
        </w:rPr>
        <w:tab/>
        <w:t>12/30/2021</w:t>
      </w:r>
    </w:p>
    <w:p w14:paraId="19A5D35E" w14:textId="5DF6FF79" w:rsidR="008309DC" w:rsidRDefault="008309DC">
      <w:pPr>
        <w:rPr>
          <w:noProof/>
        </w:rPr>
      </w:pPr>
    </w:p>
    <w:p w14:paraId="67B3B7AC" w14:textId="428C2D42" w:rsidR="008309DC" w:rsidRPr="008F2B7C" w:rsidRDefault="008309DC" w:rsidP="00EF516C">
      <w:pPr>
        <w:spacing w:after="120" w:line="360" w:lineRule="auto"/>
        <w:rPr>
          <w:rFonts w:ascii="Times New Roman" w:hAnsi="Times New Roman" w:cs="Times New Roman"/>
          <w:noProof/>
          <w:sz w:val="24"/>
          <w:szCs w:val="24"/>
        </w:rPr>
      </w:pPr>
      <w:r w:rsidRPr="008F2B7C">
        <w:rPr>
          <w:rFonts w:ascii="Times New Roman" w:hAnsi="Times New Roman" w:cs="Times New Roman"/>
          <w:noProof/>
          <w:sz w:val="24"/>
          <w:szCs w:val="24"/>
        </w:rPr>
        <w:t>The emergence of cyber threats over the past two decades has presented a unique national security challenge to nations. Threat actors</w:t>
      </w:r>
      <w:r w:rsidR="00EF516C" w:rsidRPr="008F2B7C">
        <w:rPr>
          <w:rFonts w:ascii="Times New Roman" w:hAnsi="Times New Roman" w:cs="Times New Roman"/>
          <w:noProof/>
          <w:sz w:val="24"/>
          <w:szCs w:val="24"/>
        </w:rPr>
        <w:t xml:space="preserve"> include </w:t>
      </w:r>
      <w:r w:rsidRPr="008F2B7C">
        <w:rPr>
          <w:rFonts w:ascii="Times New Roman" w:hAnsi="Times New Roman" w:cs="Times New Roman"/>
          <w:noProof/>
          <w:sz w:val="24"/>
          <w:szCs w:val="24"/>
        </w:rPr>
        <w:t xml:space="preserve">hostile nation’s, transnational criminal networks, </w:t>
      </w:r>
      <w:r w:rsidR="00EF516C" w:rsidRPr="008F2B7C">
        <w:rPr>
          <w:rFonts w:ascii="Times New Roman" w:hAnsi="Times New Roman" w:cs="Times New Roman"/>
          <w:noProof/>
          <w:sz w:val="24"/>
          <w:szCs w:val="24"/>
        </w:rPr>
        <w:t xml:space="preserve">and </w:t>
      </w:r>
      <w:r w:rsidRPr="008F2B7C">
        <w:rPr>
          <w:rFonts w:ascii="Times New Roman" w:hAnsi="Times New Roman" w:cs="Times New Roman"/>
          <w:noProof/>
          <w:sz w:val="24"/>
          <w:szCs w:val="24"/>
        </w:rPr>
        <w:t>rogue domestic actors. The emergence of this national security threat has created a variety of responses, in part due to the range of threats posed. The Scandinavian and Baltic states face relatively similar threats, the large</w:t>
      </w:r>
      <w:r w:rsidR="008A4488">
        <w:rPr>
          <w:rFonts w:ascii="Times New Roman" w:hAnsi="Times New Roman" w:cs="Times New Roman"/>
          <w:noProof/>
          <w:sz w:val="24"/>
          <w:szCs w:val="24"/>
        </w:rPr>
        <w:t xml:space="preserve">st </w:t>
      </w:r>
      <w:r w:rsidRPr="008F2B7C">
        <w:rPr>
          <w:rFonts w:ascii="Times New Roman" w:hAnsi="Times New Roman" w:cs="Times New Roman"/>
          <w:noProof/>
          <w:sz w:val="24"/>
          <w:szCs w:val="24"/>
        </w:rPr>
        <w:t xml:space="preserve">being state sponsored attacks from the Russian Federation, and Russian allied groups. </w:t>
      </w:r>
      <w:r w:rsidR="00B27176" w:rsidRPr="008F2B7C">
        <w:rPr>
          <w:rFonts w:ascii="Times New Roman" w:hAnsi="Times New Roman" w:cs="Times New Roman"/>
          <w:noProof/>
          <w:sz w:val="24"/>
          <w:szCs w:val="24"/>
        </w:rPr>
        <w:t xml:space="preserve">Their response has been rapid and robust, particularly following the Russian invasion of Crimea in the spring of 2014. </w:t>
      </w:r>
      <w:r w:rsidR="00EF516C" w:rsidRPr="008F2B7C">
        <w:rPr>
          <w:rFonts w:ascii="Times New Roman" w:hAnsi="Times New Roman" w:cs="Times New Roman"/>
          <w:noProof/>
          <w:sz w:val="24"/>
          <w:szCs w:val="24"/>
        </w:rPr>
        <w:t>The Scandinavian and Baltic nations under study: Norway, Sweden, Finland, Estonia, Latv</w:t>
      </w:r>
      <w:r w:rsidR="008A4488">
        <w:rPr>
          <w:rFonts w:ascii="Times New Roman" w:hAnsi="Times New Roman" w:cs="Times New Roman"/>
          <w:noProof/>
          <w:sz w:val="24"/>
          <w:szCs w:val="24"/>
        </w:rPr>
        <w:t>i</w:t>
      </w:r>
      <w:r w:rsidR="00EF516C" w:rsidRPr="008F2B7C">
        <w:rPr>
          <w:rFonts w:ascii="Times New Roman" w:hAnsi="Times New Roman" w:cs="Times New Roman"/>
          <w:noProof/>
          <w:sz w:val="24"/>
          <w:szCs w:val="24"/>
        </w:rPr>
        <w:t xml:space="preserve">a, and Lithuania, have each steadily increased their cyber resiliency. Each of the 6 nations now ranks amongst the worlds elite in terms of cyber security, a task which best reflects the importance of the common threat they face. Remarkably, this rise has not necessitated exorbident government spending, </w:t>
      </w:r>
      <w:r w:rsidR="008A4488">
        <w:rPr>
          <w:rFonts w:ascii="Times New Roman" w:hAnsi="Times New Roman" w:cs="Times New Roman"/>
          <w:noProof/>
          <w:sz w:val="24"/>
          <w:szCs w:val="24"/>
        </w:rPr>
        <w:t xml:space="preserve">increased military spending, a robust IT sector, or signficant increases in education spending. </w:t>
      </w:r>
    </w:p>
    <w:p w14:paraId="45C4354F" w14:textId="0052293E" w:rsidR="008F2B7C" w:rsidRDefault="008F2B7C" w:rsidP="008F2B7C">
      <w:pPr>
        <w:spacing w:after="120" w:line="360" w:lineRule="auto"/>
        <w:jc w:val="center"/>
        <w:rPr>
          <w:b/>
          <w:bCs/>
          <w:noProof/>
        </w:rPr>
      </w:pPr>
      <w:r>
        <w:rPr>
          <w:b/>
          <w:bCs/>
          <w:noProof/>
        </w:rPr>
        <w:t>ITU Cyber Security Rankings 2020</w:t>
      </w:r>
    </w:p>
    <w:tbl>
      <w:tblPr>
        <w:tblStyle w:val="TableGrid"/>
        <w:tblW w:w="0" w:type="auto"/>
        <w:tblLook w:val="04A0" w:firstRow="1" w:lastRow="0" w:firstColumn="1" w:lastColumn="0" w:noHBand="0" w:noVBand="1"/>
      </w:tblPr>
      <w:tblGrid>
        <w:gridCol w:w="1798"/>
        <w:gridCol w:w="1798"/>
        <w:gridCol w:w="1798"/>
        <w:gridCol w:w="1798"/>
        <w:gridCol w:w="1799"/>
        <w:gridCol w:w="1799"/>
      </w:tblGrid>
      <w:tr w:rsidR="008F2B7C" w14:paraId="559EC35A" w14:textId="77777777" w:rsidTr="008F2B7C">
        <w:tc>
          <w:tcPr>
            <w:tcW w:w="1798" w:type="dxa"/>
          </w:tcPr>
          <w:p w14:paraId="47CE1F33" w14:textId="0AFCBCB7" w:rsidR="008F2B7C" w:rsidRDefault="008F2B7C" w:rsidP="008F2B7C">
            <w:pPr>
              <w:spacing w:after="120" w:line="360" w:lineRule="auto"/>
              <w:rPr>
                <w:b/>
                <w:bCs/>
                <w:noProof/>
              </w:rPr>
            </w:pPr>
            <w:r>
              <w:rPr>
                <w:b/>
                <w:bCs/>
                <w:noProof/>
              </w:rPr>
              <w:t>Norway</w:t>
            </w:r>
          </w:p>
        </w:tc>
        <w:tc>
          <w:tcPr>
            <w:tcW w:w="1798" w:type="dxa"/>
          </w:tcPr>
          <w:p w14:paraId="498FD1ED" w14:textId="278F3023" w:rsidR="008F2B7C" w:rsidRDefault="008F2B7C" w:rsidP="008F2B7C">
            <w:pPr>
              <w:spacing w:after="120" w:line="360" w:lineRule="auto"/>
              <w:rPr>
                <w:b/>
                <w:bCs/>
                <w:noProof/>
              </w:rPr>
            </w:pPr>
            <w:r>
              <w:rPr>
                <w:b/>
                <w:bCs/>
                <w:noProof/>
              </w:rPr>
              <w:t>Sweden</w:t>
            </w:r>
          </w:p>
        </w:tc>
        <w:tc>
          <w:tcPr>
            <w:tcW w:w="1798" w:type="dxa"/>
          </w:tcPr>
          <w:p w14:paraId="2D75483E" w14:textId="79A2A112" w:rsidR="008F2B7C" w:rsidRDefault="008F2B7C" w:rsidP="008F2B7C">
            <w:pPr>
              <w:spacing w:after="120" w:line="360" w:lineRule="auto"/>
              <w:rPr>
                <w:b/>
                <w:bCs/>
                <w:noProof/>
              </w:rPr>
            </w:pPr>
            <w:r>
              <w:rPr>
                <w:b/>
                <w:bCs/>
                <w:noProof/>
              </w:rPr>
              <w:t>Finland</w:t>
            </w:r>
          </w:p>
        </w:tc>
        <w:tc>
          <w:tcPr>
            <w:tcW w:w="1798" w:type="dxa"/>
          </w:tcPr>
          <w:p w14:paraId="07612F85" w14:textId="413E7238" w:rsidR="008F2B7C" w:rsidRDefault="008F2B7C" w:rsidP="008F2B7C">
            <w:pPr>
              <w:spacing w:after="120" w:line="360" w:lineRule="auto"/>
              <w:rPr>
                <w:b/>
                <w:bCs/>
                <w:noProof/>
              </w:rPr>
            </w:pPr>
            <w:r>
              <w:rPr>
                <w:b/>
                <w:bCs/>
                <w:noProof/>
              </w:rPr>
              <w:t>Estonia</w:t>
            </w:r>
          </w:p>
        </w:tc>
        <w:tc>
          <w:tcPr>
            <w:tcW w:w="1799" w:type="dxa"/>
          </w:tcPr>
          <w:p w14:paraId="3668AF40" w14:textId="4219F5EF" w:rsidR="008F2B7C" w:rsidRDefault="008F2B7C" w:rsidP="008F2B7C">
            <w:pPr>
              <w:spacing w:after="120" w:line="360" w:lineRule="auto"/>
              <w:rPr>
                <w:b/>
                <w:bCs/>
                <w:noProof/>
              </w:rPr>
            </w:pPr>
            <w:r>
              <w:rPr>
                <w:b/>
                <w:bCs/>
                <w:noProof/>
              </w:rPr>
              <w:t>Latvia</w:t>
            </w:r>
          </w:p>
        </w:tc>
        <w:tc>
          <w:tcPr>
            <w:tcW w:w="1799" w:type="dxa"/>
          </w:tcPr>
          <w:p w14:paraId="6917EAFC" w14:textId="61EB3335" w:rsidR="008F2B7C" w:rsidRDefault="008F2B7C" w:rsidP="008F2B7C">
            <w:pPr>
              <w:spacing w:after="120" w:line="360" w:lineRule="auto"/>
              <w:rPr>
                <w:b/>
                <w:bCs/>
                <w:noProof/>
              </w:rPr>
            </w:pPr>
            <w:r>
              <w:rPr>
                <w:b/>
                <w:bCs/>
                <w:noProof/>
              </w:rPr>
              <w:t>Lithuania</w:t>
            </w:r>
          </w:p>
        </w:tc>
      </w:tr>
      <w:tr w:rsidR="008F2B7C" w14:paraId="1D07089E" w14:textId="77777777" w:rsidTr="008F2B7C">
        <w:tc>
          <w:tcPr>
            <w:tcW w:w="1798" w:type="dxa"/>
          </w:tcPr>
          <w:p w14:paraId="46B92C8F" w14:textId="13919612" w:rsidR="008F2B7C" w:rsidRDefault="008F2B7C" w:rsidP="008F2B7C">
            <w:pPr>
              <w:spacing w:after="120" w:line="360" w:lineRule="auto"/>
              <w:rPr>
                <w:b/>
                <w:bCs/>
                <w:noProof/>
              </w:rPr>
            </w:pPr>
            <w:r>
              <w:rPr>
                <w:b/>
                <w:bCs/>
                <w:noProof/>
              </w:rPr>
              <w:t>23</w:t>
            </w:r>
            <w:r w:rsidRPr="008F2B7C">
              <w:rPr>
                <w:b/>
                <w:bCs/>
                <w:noProof/>
                <w:vertAlign w:val="superscript"/>
              </w:rPr>
              <w:t>rd</w:t>
            </w:r>
          </w:p>
        </w:tc>
        <w:tc>
          <w:tcPr>
            <w:tcW w:w="1798" w:type="dxa"/>
          </w:tcPr>
          <w:p w14:paraId="48EF541F" w14:textId="24445174" w:rsidR="008F2B7C" w:rsidRDefault="008F2B7C" w:rsidP="008F2B7C">
            <w:pPr>
              <w:spacing w:after="120" w:line="360" w:lineRule="auto"/>
              <w:rPr>
                <w:b/>
                <w:bCs/>
                <w:noProof/>
              </w:rPr>
            </w:pPr>
            <w:r>
              <w:rPr>
                <w:b/>
                <w:bCs/>
                <w:noProof/>
              </w:rPr>
              <w:t>33</w:t>
            </w:r>
            <w:r w:rsidRPr="008F2B7C">
              <w:rPr>
                <w:b/>
                <w:bCs/>
                <w:noProof/>
                <w:vertAlign w:val="superscript"/>
              </w:rPr>
              <w:t>rd</w:t>
            </w:r>
          </w:p>
        </w:tc>
        <w:tc>
          <w:tcPr>
            <w:tcW w:w="1798" w:type="dxa"/>
          </w:tcPr>
          <w:p w14:paraId="207B11DD" w14:textId="4D922064" w:rsidR="008F2B7C" w:rsidRDefault="008F2B7C" w:rsidP="008F2B7C">
            <w:pPr>
              <w:spacing w:after="120" w:line="360" w:lineRule="auto"/>
              <w:rPr>
                <w:b/>
                <w:bCs/>
                <w:noProof/>
              </w:rPr>
            </w:pPr>
            <w:r>
              <w:rPr>
                <w:b/>
                <w:bCs/>
                <w:noProof/>
              </w:rPr>
              <w:t>29</w:t>
            </w:r>
            <w:r w:rsidRPr="008F2B7C">
              <w:rPr>
                <w:b/>
                <w:bCs/>
                <w:noProof/>
                <w:vertAlign w:val="superscript"/>
              </w:rPr>
              <w:t>th</w:t>
            </w:r>
          </w:p>
        </w:tc>
        <w:tc>
          <w:tcPr>
            <w:tcW w:w="1798" w:type="dxa"/>
          </w:tcPr>
          <w:p w14:paraId="2C6914A4" w14:textId="3A17AF8C" w:rsidR="008F2B7C" w:rsidRDefault="008F2B7C" w:rsidP="008F2B7C">
            <w:pPr>
              <w:spacing w:after="120" w:line="360" w:lineRule="auto"/>
              <w:rPr>
                <w:b/>
                <w:bCs/>
                <w:noProof/>
              </w:rPr>
            </w:pPr>
            <w:r>
              <w:rPr>
                <w:b/>
                <w:bCs/>
                <w:noProof/>
              </w:rPr>
              <w:t>4</w:t>
            </w:r>
            <w:r w:rsidRPr="008F2B7C">
              <w:rPr>
                <w:b/>
                <w:bCs/>
                <w:noProof/>
                <w:vertAlign w:val="superscript"/>
              </w:rPr>
              <w:t>th</w:t>
            </w:r>
          </w:p>
        </w:tc>
        <w:tc>
          <w:tcPr>
            <w:tcW w:w="1799" w:type="dxa"/>
          </w:tcPr>
          <w:p w14:paraId="5649AABF" w14:textId="00C10DE1" w:rsidR="008F2B7C" w:rsidRDefault="008F2B7C" w:rsidP="008F2B7C">
            <w:pPr>
              <w:spacing w:after="120" w:line="360" w:lineRule="auto"/>
              <w:rPr>
                <w:b/>
                <w:bCs/>
                <w:noProof/>
              </w:rPr>
            </w:pPr>
            <w:r>
              <w:rPr>
                <w:b/>
                <w:bCs/>
                <w:noProof/>
              </w:rPr>
              <w:t>21</w:t>
            </w:r>
            <w:r w:rsidRPr="008F2B7C">
              <w:rPr>
                <w:b/>
                <w:bCs/>
                <w:noProof/>
                <w:vertAlign w:val="superscript"/>
              </w:rPr>
              <w:t>st</w:t>
            </w:r>
          </w:p>
        </w:tc>
        <w:tc>
          <w:tcPr>
            <w:tcW w:w="1799" w:type="dxa"/>
          </w:tcPr>
          <w:p w14:paraId="6328530D" w14:textId="36EDE84C" w:rsidR="008F2B7C" w:rsidRDefault="008F2B7C" w:rsidP="008F2B7C">
            <w:pPr>
              <w:spacing w:after="120" w:line="360" w:lineRule="auto"/>
              <w:rPr>
                <w:b/>
                <w:bCs/>
                <w:noProof/>
              </w:rPr>
            </w:pPr>
            <w:r>
              <w:rPr>
                <w:b/>
                <w:bCs/>
                <w:noProof/>
              </w:rPr>
              <w:t>11</w:t>
            </w:r>
            <w:r w:rsidRPr="008F2B7C">
              <w:rPr>
                <w:b/>
                <w:bCs/>
                <w:noProof/>
                <w:vertAlign w:val="superscript"/>
              </w:rPr>
              <w:t>th</w:t>
            </w:r>
            <w:r>
              <w:rPr>
                <w:b/>
                <w:bCs/>
                <w:noProof/>
              </w:rPr>
              <w:t xml:space="preserve"> </w:t>
            </w:r>
          </w:p>
        </w:tc>
      </w:tr>
    </w:tbl>
    <w:p w14:paraId="6B04E0E6" w14:textId="77777777" w:rsidR="008F2B7C" w:rsidRPr="008F2B7C" w:rsidRDefault="008F2B7C" w:rsidP="008F2B7C">
      <w:pPr>
        <w:spacing w:after="120" w:line="360" w:lineRule="auto"/>
        <w:rPr>
          <w:b/>
          <w:bCs/>
          <w:noProof/>
        </w:rPr>
      </w:pPr>
    </w:p>
    <w:p w14:paraId="6DF6D608" w14:textId="77777777" w:rsidR="008309DC" w:rsidRDefault="008309DC">
      <w:pPr>
        <w:rPr>
          <w:noProof/>
        </w:rPr>
      </w:pPr>
    </w:p>
    <w:p w14:paraId="5869FEE7" w14:textId="09AA8682" w:rsidR="00721D61" w:rsidRDefault="00721D61">
      <w:pPr>
        <w:rPr>
          <w:noProof/>
        </w:rPr>
      </w:pPr>
      <w:r>
        <w:rPr>
          <w:noProof/>
        </w:rPr>
        <w:drawing>
          <wp:inline distT="0" distB="0" distL="0" distR="0" wp14:anchorId="58263FFE" wp14:editId="6D97AB3E">
            <wp:extent cx="6804660" cy="3070860"/>
            <wp:effectExtent l="0" t="0" r="15240" b="15240"/>
            <wp:docPr id="1" name="Chart 1">
              <a:extLst xmlns:a="http://schemas.openxmlformats.org/drawingml/2006/main">
                <a:ext uri="{FF2B5EF4-FFF2-40B4-BE49-F238E27FC236}">
                  <a16:creationId xmlns:a16="http://schemas.microsoft.com/office/drawing/2014/main" id="{B5155586-A48F-4585-8B05-E19E8E3766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0F035B4" w14:textId="7A4912A7" w:rsidR="0043648E" w:rsidRDefault="0043648E" w:rsidP="0043648E">
      <w:pPr>
        <w:rPr>
          <w:noProof/>
        </w:rPr>
      </w:pPr>
    </w:p>
    <w:p w14:paraId="605D8FD2" w14:textId="164608F5" w:rsidR="0043648E" w:rsidRPr="00F6029E" w:rsidRDefault="00EF516C" w:rsidP="00F6029E">
      <w:pPr>
        <w:spacing w:line="360" w:lineRule="auto"/>
        <w:ind w:firstLine="720"/>
        <w:rPr>
          <w:rFonts w:ascii="Times New Roman" w:hAnsi="Times New Roman" w:cs="Times New Roman"/>
          <w:sz w:val="24"/>
          <w:szCs w:val="24"/>
        </w:rPr>
      </w:pPr>
      <w:r w:rsidRPr="00F6029E">
        <w:rPr>
          <w:rFonts w:ascii="Times New Roman" w:hAnsi="Times New Roman" w:cs="Times New Roman"/>
          <w:sz w:val="24"/>
          <w:szCs w:val="24"/>
        </w:rPr>
        <w:t xml:space="preserve">While traditional military </w:t>
      </w:r>
      <w:r w:rsidR="008F2B7C" w:rsidRPr="00F6029E">
        <w:rPr>
          <w:rFonts w:ascii="Times New Roman" w:hAnsi="Times New Roman" w:cs="Times New Roman"/>
          <w:sz w:val="24"/>
          <w:szCs w:val="24"/>
        </w:rPr>
        <w:t xml:space="preserve">capacity is expensive, increasing cyber security capacity remains relatively cheap. Each nation has rapidly improved their cyber security capabilities over the last 7 years. This improvement has not placed an undue burden on the military budgets of </w:t>
      </w:r>
      <w:r w:rsidR="009A1DBA" w:rsidRPr="00F6029E">
        <w:rPr>
          <w:rFonts w:ascii="Times New Roman" w:hAnsi="Times New Roman" w:cs="Times New Roman"/>
          <w:sz w:val="24"/>
          <w:szCs w:val="24"/>
        </w:rPr>
        <w:t xml:space="preserve">the Scandinavian nations, which have seen overall reductions or limited increases in their military expenditures. While the Baltic nations have substantially increased their military spending since 2014, this is in part due to the increased threat posed by their relative size and land borders with Russia. Notably, despite rapid growth in their overall military budgets, military spending as a % of GDP remains relatively modest, with each nation near or below the relatively standard 2% NATO threshold. </w:t>
      </w:r>
      <w:r w:rsidR="00F75400" w:rsidRPr="00F6029E">
        <w:rPr>
          <w:rFonts w:ascii="Times New Roman" w:hAnsi="Times New Roman" w:cs="Times New Roman"/>
          <w:sz w:val="24"/>
          <w:szCs w:val="24"/>
        </w:rPr>
        <w:t xml:space="preserve">Military spending at these levels remains sustainable, particularly given the evident gains in cyber resiliency as represented in the ITU Cyber Security Rankings. </w:t>
      </w:r>
    </w:p>
    <w:p w14:paraId="05F3F472" w14:textId="0C8EC4A0" w:rsidR="00F75400" w:rsidRPr="00F75400" w:rsidRDefault="00F75400" w:rsidP="00F75400">
      <w:pPr>
        <w:rPr>
          <w:i/>
          <w:iCs/>
        </w:rPr>
      </w:pPr>
      <w:r>
        <w:t>*</w:t>
      </w:r>
      <w:r w:rsidRPr="00F75400">
        <w:t xml:space="preserve"> </w:t>
      </w:r>
      <w:r w:rsidRPr="00F75400">
        <w:rPr>
          <w:i/>
          <w:iCs/>
        </w:rPr>
        <w:t>While Sweden and Finland are not NATO members, they are active participants in many NATO programs.</w:t>
      </w:r>
    </w:p>
    <w:p w14:paraId="343A5A77" w14:textId="779320DF" w:rsidR="008B07AF" w:rsidRDefault="009A1DBA" w:rsidP="008B07AF">
      <w:pPr>
        <w:jc w:val="center"/>
        <w:rPr>
          <w:b/>
          <w:bCs/>
        </w:rPr>
      </w:pPr>
      <w:r>
        <w:rPr>
          <w:b/>
          <w:bCs/>
        </w:rPr>
        <w:t xml:space="preserve">Total </w:t>
      </w:r>
      <w:r w:rsidR="008B07AF">
        <w:rPr>
          <w:b/>
          <w:bCs/>
        </w:rPr>
        <w:t>% Increase in Military Spending 2014-2020</w:t>
      </w:r>
    </w:p>
    <w:tbl>
      <w:tblPr>
        <w:tblStyle w:val="TableGrid"/>
        <w:tblW w:w="0" w:type="auto"/>
        <w:tblLook w:val="04A0" w:firstRow="1" w:lastRow="0" w:firstColumn="1" w:lastColumn="0" w:noHBand="0" w:noVBand="1"/>
      </w:tblPr>
      <w:tblGrid>
        <w:gridCol w:w="1798"/>
        <w:gridCol w:w="1798"/>
        <w:gridCol w:w="1798"/>
        <w:gridCol w:w="1798"/>
        <w:gridCol w:w="1799"/>
        <w:gridCol w:w="1799"/>
      </w:tblGrid>
      <w:tr w:rsidR="008B07AF" w14:paraId="50D3114D" w14:textId="77777777" w:rsidTr="008B07AF">
        <w:tc>
          <w:tcPr>
            <w:tcW w:w="1798" w:type="dxa"/>
          </w:tcPr>
          <w:p w14:paraId="6053FA19" w14:textId="4555B6DB" w:rsidR="008B07AF" w:rsidRDefault="008B07AF" w:rsidP="008B07AF">
            <w:pPr>
              <w:rPr>
                <w:b/>
                <w:bCs/>
              </w:rPr>
            </w:pPr>
            <w:r>
              <w:rPr>
                <w:b/>
                <w:bCs/>
                <w:noProof/>
              </w:rPr>
              <w:t>Norway</w:t>
            </w:r>
          </w:p>
        </w:tc>
        <w:tc>
          <w:tcPr>
            <w:tcW w:w="1798" w:type="dxa"/>
          </w:tcPr>
          <w:p w14:paraId="10AE71A1" w14:textId="0454DC22" w:rsidR="008B07AF" w:rsidRDefault="008B07AF" w:rsidP="008B07AF">
            <w:pPr>
              <w:rPr>
                <w:b/>
                <w:bCs/>
              </w:rPr>
            </w:pPr>
            <w:r>
              <w:rPr>
                <w:b/>
                <w:bCs/>
                <w:noProof/>
              </w:rPr>
              <w:t>Sweden</w:t>
            </w:r>
          </w:p>
        </w:tc>
        <w:tc>
          <w:tcPr>
            <w:tcW w:w="1798" w:type="dxa"/>
          </w:tcPr>
          <w:p w14:paraId="0F49F5DF" w14:textId="468DBF65" w:rsidR="008B07AF" w:rsidRDefault="008B07AF" w:rsidP="008B07AF">
            <w:pPr>
              <w:rPr>
                <w:b/>
                <w:bCs/>
              </w:rPr>
            </w:pPr>
            <w:r>
              <w:rPr>
                <w:b/>
                <w:bCs/>
                <w:noProof/>
              </w:rPr>
              <w:t>Finland</w:t>
            </w:r>
          </w:p>
        </w:tc>
        <w:tc>
          <w:tcPr>
            <w:tcW w:w="1798" w:type="dxa"/>
          </w:tcPr>
          <w:p w14:paraId="236A3153" w14:textId="46F464A0" w:rsidR="008B07AF" w:rsidRDefault="008B07AF" w:rsidP="008B07AF">
            <w:pPr>
              <w:rPr>
                <w:b/>
                <w:bCs/>
              </w:rPr>
            </w:pPr>
            <w:r>
              <w:rPr>
                <w:b/>
                <w:bCs/>
                <w:noProof/>
              </w:rPr>
              <w:t>Estonia</w:t>
            </w:r>
          </w:p>
        </w:tc>
        <w:tc>
          <w:tcPr>
            <w:tcW w:w="1799" w:type="dxa"/>
          </w:tcPr>
          <w:p w14:paraId="3BF2F14E" w14:textId="28C52D49" w:rsidR="008B07AF" w:rsidRDefault="008B07AF" w:rsidP="008B07AF">
            <w:pPr>
              <w:rPr>
                <w:b/>
                <w:bCs/>
              </w:rPr>
            </w:pPr>
            <w:r>
              <w:rPr>
                <w:b/>
                <w:bCs/>
                <w:noProof/>
              </w:rPr>
              <w:t>Latvia</w:t>
            </w:r>
          </w:p>
        </w:tc>
        <w:tc>
          <w:tcPr>
            <w:tcW w:w="1799" w:type="dxa"/>
          </w:tcPr>
          <w:p w14:paraId="722000FE" w14:textId="2F671739" w:rsidR="008B07AF" w:rsidRDefault="008B07AF" w:rsidP="008B07AF">
            <w:pPr>
              <w:rPr>
                <w:b/>
                <w:bCs/>
              </w:rPr>
            </w:pPr>
            <w:r>
              <w:rPr>
                <w:b/>
                <w:bCs/>
                <w:noProof/>
              </w:rPr>
              <w:t>Lithuania</w:t>
            </w:r>
          </w:p>
        </w:tc>
      </w:tr>
      <w:tr w:rsidR="008B07AF" w14:paraId="142C1BE1" w14:textId="77777777" w:rsidTr="008B07AF">
        <w:tc>
          <w:tcPr>
            <w:tcW w:w="1798" w:type="dxa"/>
          </w:tcPr>
          <w:p w14:paraId="4C4B88B8" w14:textId="5D96CC30" w:rsidR="008B07AF" w:rsidRDefault="009A1DBA" w:rsidP="008B07AF">
            <w:pPr>
              <w:rPr>
                <w:b/>
                <w:bCs/>
              </w:rPr>
            </w:pPr>
            <w:r>
              <w:rPr>
                <w:b/>
                <w:bCs/>
              </w:rPr>
              <w:t>-3%</w:t>
            </w:r>
          </w:p>
        </w:tc>
        <w:tc>
          <w:tcPr>
            <w:tcW w:w="1798" w:type="dxa"/>
          </w:tcPr>
          <w:p w14:paraId="08C8DB35" w14:textId="5E73FD8E" w:rsidR="008B07AF" w:rsidRDefault="009A1DBA" w:rsidP="008B07AF">
            <w:pPr>
              <w:rPr>
                <w:b/>
                <w:bCs/>
              </w:rPr>
            </w:pPr>
            <w:r>
              <w:rPr>
                <w:b/>
                <w:bCs/>
              </w:rPr>
              <w:t>-2%</w:t>
            </w:r>
          </w:p>
        </w:tc>
        <w:tc>
          <w:tcPr>
            <w:tcW w:w="1798" w:type="dxa"/>
          </w:tcPr>
          <w:p w14:paraId="1C8E23FF" w14:textId="157786F2" w:rsidR="008B07AF" w:rsidRDefault="009A1DBA" w:rsidP="008B07AF">
            <w:pPr>
              <w:rPr>
                <w:b/>
                <w:bCs/>
              </w:rPr>
            </w:pPr>
            <w:r>
              <w:rPr>
                <w:b/>
                <w:bCs/>
              </w:rPr>
              <w:t>2%</w:t>
            </w:r>
          </w:p>
        </w:tc>
        <w:tc>
          <w:tcPr>
            <w:tcW w:w="1798" w:type="dxa"/>
          </w:tcPr>
          <w:p w14:paraId="1407B9C4" w14:textId="2B40D154" w:rsidR="008B07AF" w:rsidRDefault="009A1DBA" w:rsidP="008B07AF">
            <w:pPr>
              <w:rPr>
                <w:b/>
                <w:bCs/>
              </w:rPr>
            </w:pPr>
            <w:r>
              <w:rPr>
                <w:b/>
                <w:bCs/>
              </w:rPr>
              <w:t>37%</w:t>
            </w:r>
          </w:p>
        </w:tc>
        <w:tc>
          <w:tcPr>
            <w:tcW w:w="1799" w:type="dxa"/>
          </w:tcPr>
          <w:p w14:paraId="076E5CAA" w14:textId="26186DF6" w:rsidR="008B07AF" w:rsidRDefault="00507457" w:rsidP="008B07AF">
            <w:pPr>
              <w:rPr>
                <w:b/>
                <w:bCs/>
              </w:rPr>
            </w:pPr>
            <w:r>
              <w:rPr>
                <w:b/>
                <w:bCs/>
              </w:rPr>
              <w:t>1</w:t>
            </w:r>
            <w:r w:rsidR="009A1DBA">
              <w:rPr>
                <w:b/>
                <w:bCs/>
              </w:rPr>
              <w:t>52%</w:t>
            </w:r>
          </w:p>
        </w:tc>
        <w:tc>
          <w:tcPr>
            <w:tcW w:w="1799" w:type="dxa"/>
          </w:tcPr>
          <w:p w14:paraId="2FE58BAC" w14:textId="1FBBAC89" w:rsidR="008B07AF" w:rsidRDefault="00507457" w:rsidP="008B07AF">
            <w:pPr>
              <w:rPr>
                <w:b/>
                <w:bCs/>
              </w:rPr>
            </w:pPr>
            <w:r>
              <w:rPr>
                <w:b/>
                <w:bCs/>
              </w:rPr>
              <w:t>1</w:t>
            </w:r>
            <w:r w:rsidR="009A1DBA">
              <w:rPr>
                <w:b/>
                <w:bCs/>
              </w:rPr>
              <w:t>72%</w:t>
            </w:r>
          </w:p>
        </w:tc>
      </w:tr>
    </w:tbl>
    <w:p w14:paraId="33F5DF76" w14:textId="77777777" w:rsidR="008B07AF" w:rsidRPr="008B07AF" w:rsidRDefault="008B07AF" w:rsidP="008B07AF">
      <w:pPr>
        <w:rPr>
          <w:b/>
          <w:bCs/>
        </w:rPr>
      </w:pPr>
    </w:p>
    <w:p w14:paraId="7CCA045D" w14:textId="2E4B5E75" w:rsidR="0043648E" w:rsidRDefault="008B07AF" w:rsidP="00634A50">
      <w:pPr>
        <w:rPr>
          <w:noProof/>
        </w:rPr>
      </w:pPr>
      <w:r>
        <w:rPr>
          <w:noProof/>
        </w:rPr>
        <w:drawing>
          <wp:inline distT="0" distB="0" distL="0" distR="0" wp14:anchorId="1C73790F" wp14:editId="317BF306">
            <wp:extent cx="6858000" cy="3009900"/>
            <wp:effectExtent l="0" t="0" r="0" b="0"/>
            <wp:docPr id="9" name="Chart 9">
              <a:extLst xmlns:a="http://schemas.openxmlformats.org/drawingml/2006/main">
                <a:ext uri="{FF2B5EF4-FFF2-40B4-BE49-F238E27FC236}">
                  <a16:creationId xmlns:a16="http://schemas.microsoft.com/office/drawing/2014/main" id="{7BB838A5-BCE4-405A-8570-3D31BF13C3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361DF8A" w14:textId="74A8080A" w:rsidR="0043648E" w:rsidRPr="0043648E" w:rsidRDefault="0043648E" w:rsidP="0043648E"/>
    <w:p w14:paraId="267AC7CA" w14:textId="222D3312" w:rsidR="00ED60A5" w:rsidRPr="00634A50" w:rsidRDefault="00150F57" w:rsidP="00634A50">
      <w:pPr>
        <w:spacing w:line="360" w:lineRule="auto"/>
        <w:rPr>
          <w:rFonts w:ascii="Times New Roman" w:hAnsi="Times New Roman" w:cs="Times New Roman"/>
          <w:sz w:val="24"/>
          <w:szCs w:val="24"/>
        </w:rPr>
      </w:pPr>
      <w:r w:rsidRPr="00634A50">
        <w:rPr>
          <w:rFonts w:ascii="Times New Roman" w:hAnsi="Times New Roman" w:cs="Times New Roman"/>
          <w:sz w:val="24"/>
          <w:szCs w:val="24"/>
        </w:rPr>
        <w:t xml:space="preserve">The traditional military capacity needed to combat a potential Russian threat </w:t>
      </w:r>
      <w:r w:rsidR="008A4488">
        <w:rPr>
          <w:rFonts w:ascii="Times New Roman" w:hAnsi="Times New Roman" w:cs="Times New Roman"/>
          <w:sz w:val="24"/>
          <w:szCs w:val="24"/>
        </w:rPr>
        <w:t>incurs</w:t>
      </w:r>
      <w:r w:rsidRPr="00634A50">
        <w:rPr>
          <w:rFonts w:ascii="Times New Roman" w:hAnsi="Times New Roman" w:cs="Times New Roman"/>
          <w:sz w:val="24"/>
          <w:szCs w:val="24"/>
        </w:rPr>
        <w:t xml:space="preserve"> a far greater cost than existing cyber security programs. Norway and Finland’s acquisitions of the United States notoriously expensive F-35 stealth fighters, and Sweden’s procurement of their</w:t>
      </w:r>
      <w:r w:rsidR="008A4488">
        <w:rPr>
          <w:rFonts w:ascii="Times New Roman" w:hAnsi="Times New Roman" w:cs="Times New Roman"/>
          <w:sz w:val="24"/>
          <w:szCs w:val="24"/>
        </w:rPr>
        <w:t xml:space="preserve"> own</w:t>
      </w:r>
      <w:r w:rsidRPr="00634A50">
        <w:rPr>
          <w:rFonts w:ascii="Times New Roman" w:hAnsi="Times New Roman" w:cs="Times New Roman"/>
          <w:sz w:val="24"/>
          <w:szCs w:val="24"/>
        </w:rPr>
        <w:t xml:space="preserve"> domestically manufactured SAAB 93 </w:t>
      </w:r>
      <w:proofErr w:type="spellStart"/>
      <w:r w:rsidRPr="00634A50">
        <w:rPr>
          <w:rFonts w:ascii="Times New Roman" w:hAnsi="Times New Roman" w:cs="Times New Roman"/>
          <w:sz w:val="24"/>
          <w:szCs w:val="24"/>
        </w:rPr>
        <w:t>Gripen’s</w:t>
      </w:r>
      <w:proofErr w:type="spellEnd"/>
      <w:r w:rsidRPr="00634A50">
        <w:rPr>
          <w:rFonts w:ascii="Times New Roman" w:hAnsi="Times New Roman" w:cs="Times New Roman"/>
          <w:sz w:val="24"/>
          <w:szCs w:val="24"/>
        </w:rPr>
        <w:t xml:space="preserve"> present long-term costs well into the billions. In contrast, cyber parity has been achieved without significant budget outlays, representing substantial economies in terms of capacity. While traditional forces strive to provide a </w:t>
      </w:r>
      <w:r w:rsidR="00F6029E" w:rsidRPr="00634A50">
        <w:rPr>
          <w:rFonts w:ascii="Times New Roman" w:hAnsi="Times New Roman" w:cs="Times New Roman"/>
          <w:sz w:val="24"/>
          <w:szCs w:val="24"/>
        </w:rPr>
        <w:t xml:space="preserve">distinctly different form of security, cyber security remains comparatively inexpensive. </w:t>
      </w:r>
    </w:p>
    <w:p w14:paraId="2F4CDC33" w14:textId="0E2609BB" w:rsidR="00ED60A5" w:rsidRDefault="00ED60A5" w:rsidP="0043648E">
      <w:pPr>
        <w:tabs>
          <w:tab w:val="left" w:pos="4884"/>
        </w:tabs>
        <w:rPr>
          <w:noProof/>
        </w:rPr>
      </w:pPr>
    </w:p>
    <w:p w14:paraId="2F9E7AAF" w14:textId="14CF2E8B" w:rsidR="00B71B37" w:rsidRDefault="00507457" w:rsidP="00B71B37">
      <w:pPr>
        <w:rPr>
          <w:noProof/>
        </w:rPr>
      </w:pPr>
      <w:r>
        <w:rPr>
          <w:noProof/>
        </w:rPr>
        <w:drawing>
          <wp:inline distT="0" distB="0" distL="0" distR="0" wp14:anchorId="5BEA9720" wp14:editId="7D855ABD">
            <wp:extent cx="6995160" cy="4503420"/>
            <wp:effectExtent l="0" t="0" r="15240" b="11430"/>
            <wp:docPr id="10" name="Chart 10">
              <a:extLst xmlns:a="http://schemas.openxmlformats.org/drawingml/2006/main">
                <a:ext uri="{FF2B5EF4-FFF2-40B4-BE49-F238E27FC236}">
                  <a16:creationId xmlns:a16="http://schemas.microsoft.com/office/drawing/2014/main" id="{0C65E11C-5070-440A-B53F-222ABC94381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357CF72" w14:textId="2D5764AA" w:rsidR="00F172F7" w:rsidRDefault="00F172F7" w:rsidP="00F172F7">
      <w:pPr>
        <w:spacing w:line="360" w:lineRule="auto"/>
        <w:rPr>
          <w:rFonts w:ascii="Times New Roman" w:hAnsi="Times New Roman" w:cs="Times New Roman"/>
          <w:sz w:val="24"/>
          <w:szCs w:val="24"/>
        </w:rPr>
      </w:pPr>
      <w:r w:rsidRPr="00F172F7">
        <w:rPr>
          <w:rFonts w:ascii="Times New Roman" w:hAnsi="Times New Roman" w:cs="Times New Roman"/>
          <w:sz w:val="24"/>
          <w:szCs w:val="24"/>
        </w:rPr>
        <w:t xml:space="preserve">While traditional armed forces employ large segments of the population, cyber security capability can be achieved with a relatively small workforce. While exact data for the total cyber security workforces for nations does not readily and reliably exist, total </w:t>
      </w:r>
      <w:r w:rsidR="00AB6D1A">
        <w:rPr>
          <w:rFonts w:ascii="Times New Roman" w:hAnsi="Times New Roman" w:cs="Times New Roman"/>
          <w:sz w:val="24"/>
          <w:szCs w:val="24"/>
        </w:rPr>
        <w:t>i</w:t>
      </w:r>
      <w:r w:rsidRPr="00F172F7">
        <w:rPr>
          <w:rFonts w:ascii="Times New Roman" w:hAnsi="Times New Roman" w:cs="Times New Roman"/>
          <w:sz w:val="24"/>
          <w:szCs w:val="24"/>
        </w:rPr>
        <w:t xml:space="preserve">nformation </w:t>
      </w:r>
      <w:r w:rsidR="00AB6D1A">
        <w:rPr>
          <w:rFonts w:ascii="Times New Roman" w:hAnsi="Times New Roman" w:cs="Times New Roman"/>
          <w:sz w:val="24"/>
          <w:szCs w:val="24"/>
        </w:rPr>
        <w:t>t</w:t>
      </w:r>
      <w:r w:rsidRPr="00F172F7">
        <w:rPr>
          <w:rFonts w:ascii="Times New Roman" w:hAnsi="Times New Roman" w:cs="Times New Roman"/>
          <w:sz w:val="24"/>
          <w:szCs w:val="24"/>
        </w:rPr>
        <w:t>echnology</w:t>
      </w:r>
      <w:r w:rsidR="00AB6D1A">
        <w:rPr>
          <w:rFonts w:ascii="Times New Roman" w:hAnsi="Times New Roman" w:cs="Times New Roman"/>
          <w:sz w:val="24"/>
          <w:szCs w:val="24"/>
        </w:rPr>
        <w:t xml:space="preserve"> (IT)</w:t>
      </w:r>
      <w:r w:rsidRPr="00F172F7">
        <w:rPr>
          <w:rFonts w:ascii="Times New Roman" w:hAnsi="Times New Roman" w:cs="Times New Roman"/>
          <w:sz w:val="24"/>
          <w:szCs w:val="24"/>
        </w:rPr>
        <w:t xml:space="preserve"> </w:t>
      </w:r>
      <w:r w:rsidR="002F542D">
        <w:rPr>
          <w:rFonts w:ascii="Times New Roman" w:hAnsi="Times New Roman" w:cs="Times New Roman"/>
          <w:sz w:val="24"/>
          <w:szCs w:val="24"/>
        </w:rPr>
        <w:t xml:space="preserve">sector specialist </w:t>
      </w:r>
      <w:r w:rsidRPr="00F172F7">
        <w:rPr>
          <w:rFonts w:ascii="Times New Roman" w:hAnsi="Times New Roman" w:cs="Times New Roman"/>
          <w:sz w:val="24"/>
          <w:szCs w:val="24"/>
        </w:rPr>
        <w:t>employment serves as a proxy for the predicted levels of cyber security employment. Standing to reason, that larger IT sectors will necessitate greater proportional security. Finland and Sweden lead this metric, with 7.6% and 7.5% of all employment falling within the IT sector. Notably, Lithuania has been able to achieve</w:t>
      </w:r>
      <w:r w:rsidR="00AB6D1A">
        <w:rPr>
          <w:rFonts w:ascii="Times New Roman" w:hAnsi="Times New Roman" w:cs="Times New Roman"/>
          <w:sz w:val="24"/>
          <w:szCs w:val="24"/>
        </w:rPr>
        <w:t xml:space="preserve"> a</w:t>
      </w:r>
      <w:r w:rsidRPr="00F172F7">
        <w:rPr>
          <w:rFonts w:ascii="Times New Roman" w:hAnsi="Times New Roman" w:cs="Times New Roman"/>
          <w:sz w:val="24"/>
          <w:szCs w:val="24"/>
        </w:rPr>
        <w:t xml:space="preserve"> similarly impressive IT Cyber Score with a significantly smaller domestic IT sector, both in absolute and proportional terms. </w:t>
      </w:r>
      <w:r>
        <w:rPr>
          <w:rFonts w:ascii="Times New Roman" w:hAnsi="Times New Roman" w:cs="Times New Roman"/>
          <w:sz w:val="24"/>
          <w:szCs w:val="24"/>
        </w:rPr>
        <w:t>Only 3.3% of Lithuanians are employed in the IT sector, and the nation ranks 11</w:t>
      </w:r>
      <w:r w:rsidRPr="00F172F7">
        <w:rPr>
          <w:rFonts w:ascii="Times New Roman" w:hAnsi="Times New Roman" w:cs="Times New Roman"/>
          <w:sz w:val="24"/>
          <w:szCs w:val="24"/>
          <w:vertAlign w:val="superscript"/>
        </w:rPr>
        <w:t>th</w:t>
      </w:r>
      <w:r>
        <w:rPr>
          <w:rFonts w:ascii="Times New Roman" w:hAnsi="Times New Roman" w:cs="Times New Roman"/>
          <w:sz w:val="24"/>
          <w:szCs w:val="24"/>
        </w:rPr>
        <w:t xml:space="preserve"> in cyber security. This demonstrates the feasibility of developing world class cyber capabilities without a fully developed domestic industry. </w:t>
      </w:r>
    </w:p>
    <w:p w14:paraId="02E18E1A" w14:textId="0B393029" w:rsidR="002F542D" w:rsidRPr="00F172F7" w:rsidRDefault="002F542D" w:rsidP="00F172F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European Union average of 4.3% employment in the IT specialist sector straddles the survey group. Counterintuitively, IT specialist employment is inversely correlated with ITU Cyber Security Rankings among the examined nations. Finland and Sweden employ the largest portion of their workforces as IT specialists, and rank worst amongst the examined nations according to the ITU. This divergence may in part be linked to the bifurcation of cyber security employment, where the public and private sector can work independently. </w:t>
      </w:r>
    </w:p>
    <w:p w14:paraId="6B3954E6" w14:textId="77777777" w:rsidR="00F172F7" w:rsidRDefault="00F172F7" w:rsidP="00B71B37">
      <w:pPr>
        <w:rPr>
          <w:noProof/>
        </w:rPr>
      </w:pPr>
    </w:p>
    <w:p w14:paraId="2D671347" w14:textId="7E4478D8" w:rsidR="00B71B37" w:rsidRDefault="007D1613" w:rsidP="00B71B37">
      <w:pPr>
        <w:rPr>
          <w:noProof/>
        </w:rPr>
      </w:pPr>
      <w:r>
        <w:rPr>
          <w:noProof/>
        </w:rPr>
        <w:lastRenderedPageBreak/>
        <w:drawing>
          <wp:inline distT="0" distB="0" distL="0" distR="0" wp14:anchorId="23DCEB22" wp14:editId="238CDE47">
            <wp:extent cx="6926580" cy="4175760"/>
            <wp:effectExtent l="0" t="0" r="7620" b="15240"/>
            <wp:docPr id="7" name="Chart 7">
              <a:extLst xmlns:a="http://schemas.openxmlformats.org/drawingml/2006/main">
                <a:ext uri="{FF2B5EF4-FFF2-40B4-BE49-F238E27FC236}">
                  <a16:creationId xmlns:a16="http://schemas.microsoft.com/office/drawing/2014/main" id="{4881968E-98BB-448E-B6F2-505EB75D17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F45576D" w14:textId="3237C245" w:rsidR="00AA703E" w:rsidRPr="00AA703E" w:rsidRDefault="00AA703E" w:rsidP="00AA703E"/>
    <w:p w14:paraId="2024AA75" w14:textId="43147F44" w:rsidR="00AA703E" w:rsidRPr="00AF49F0" w:rsidRDefault="00AF49F0" w:rsidP="00AF49F0">
      <w:pPr>
        <w:spacing w:line="360" w:lineRule="auto"/>
        <w:rPr>
          <w:rFonts w:ascii="Times New Roman" w:hAnsi="Times New Roman" w:cs="Times New Roman"/>
          <w:noProof/>
          <w:sz w:val="24"/>
          <w:szCs w:val="24"/>
        </w:rPr>
      </w:pPr>
      <w:r w:rsidRPr="00AF49F0">
        <w:rPr>
          <w:rFonts w:ascii="Times New Roman" w:hAnsi="Times New Roman" w:cs="Times New Roman"/>
          <w:noProof/>
          <w:sz w:val="24"/>
          <w:szCs w:val="24"/>
        </w:rPr>
        <w:t xml:space="preserve">Stable spending on research and development over the past six years, a time frame of considerable progress in cyber capacity for the examined nations demonstrates a lack of correlation. While some nations, such as Israel and South Korea, exceed in both categories, the rise of cyber capcity for Russia’s western neighbors during a period of R&amp;D stagnation suggests a level of disconnect. While R&amp;D spending is difficult to fully capture, particularly so for the cyber security, given the secrecy and security considerations, general investment has not been the driver of increased cyber security. </w:t>
      </w:r>
    </w:p>
    <w:p w14:paraId="4FF6506C" w14:textId="42A57869" w:rsidR="00AF49F0" w:rsidRPr="00AF49F0" w:rsidRDefault="00AF49F0" w:rsidP="00AF49F0">
      <w:pPr>
        <w:spacing w:line="360" w:lineRule="auto"/>
        <w:rPr>
          <w:rFonts w:ascii="Times New Roman" w:hAnsi="Times New Roman" w:cs="Times New Roman"/>
          <w:noProof/>
          <w:sz w:val="24"/>
          <w:szCs w:val="24"/>
        </w:rPr>
      </w:pPr>
      <w:r w:rsidRPr="00AF49F0">
        <w:rPr>
          <w:rFonts w:ascii="Times New Roman" w:hAnsi="Times New Roman" w:cs="Times New Roman"/>
          <w:noProof/>
          <w:sz w:val="24"/>
          <w:szCs w:val="24"/>
        </w:rPr>
        <w:t xml:space="preserve">This betrays the ability of relatively small investments to generate considerable cyber security gains, particularly in comparison to other sectors. Tradiational security acquisitions such as air defense systems and naval platforms have proven far more expensive. </w:t>
      </w:r>
      <w:r w:rsidR="00CC3C7C">
        <w:rPr>
          <w:rFonts w:ascii="Times New Roman" w:hAnsi="Times New Roman" w:cs="Times New Roman"/>
          <w:noProof/>
          <w:sz w:val="24"/>
          <w:szCs w:val="24"/>
        </w:rPr>
        <w:t xml:space="preserve">Notably, each of the baltic nations and Norway spent less than the EU average of 2.32% of GDP on R&amp;D. The lack of correlation between R&amp;D spending and cyber security capacity demonstrates reflects a nations ability to generate capacity without and existing IT base sector or significant ivestment. </w:t>
      </w:r>
    </w:p>
    <w:p w14:paraId="1A3D89B0" w14:textId="084221E5" w:rsidR="00AA703E" w:rsidRDefault="00AA703E" w:rsidP="00AA703E">
      <w:pPr>
        <w:tabs>
          <w:tab w:val="left" w:pos="2700"/>
        </w:tabs>
      </w:pPr>
      <w:r>
        <w:tab/>
      </w:r>
    </w:p>
    <w:p w14:paraId="6C1AFC58" w14:textId="624FB7F9" w:rsidR="00AA703E" w:rsidRDefault="00AA703E" w:rsidP="00AA703E">
      <w:pPr>
        <w:tabs>
          <w:tab w:val="left" w:pos="2700"/>
        </w:tabs>
      </w:pPr>
    </w:p>
    <w:p w14:paraId="2751BCFA" w14:textId="05CB7D6B" w:rsidR="00AA703E" w:rsidRDefault="00AA703E" w:rsidP="00AA703E">
      <w:pPr>
        <w:tabs>
          <w:tab w:val="left" w:pos="2700"/>
        </w:tabs>
      </w:pPr>
    </w:p>
    <w:p w14:paraId="6A9726FE" w14:textId="0189D675" w:rsidR="00AA703E" w:rsidRDefault="00AA703E" w:rsidP="00AA703E">
      <w:pPr>
        <w:tabs>
          <w:tab w:val="left" w:pos="2700"/>
        </w:tabs>
        <w:rPr>
          <w:noProof/>
        </w:rPr>
      </w:pPr>
      <w:r>
        <w:rPr>
          <w:noProof/>
        </w:rPr>
        <w:lastRenderedPageBreak/>
        <w:drawing>
          <wp:inline distT="0" distB="0" distL="0" distR="0" wp14:anchorId="44C5E0A3" wp14:editId="5625621A">
            <wp:extent cx="6819900" cy="2872740"/>
            <wp:effectExtent l="0" t="0" r="0" b="3810"/>
            <wp:docPr id="5" name="Chart 5">
              <a:extLst xmlns:a="http://schemas.openxmlformats.org/drawingml/2006/main">
                <a:ext uri="{FF2B5EF4-FFF2-40B4-BE49-F238E27FC236}">
                  <a16:creationId xmlns:a16="http://schemas.microsoft.com/office/drawing/2014/main" id="{2FCAF42F-93EE-484F-9888-CC98817023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FF50047" w14:textId="73D70EE8" w:rsidR="007D1613" w:rsidRPr="00DC46D2" w:rsidRDefault="00CC3C7C" w:rsidP="00DC46D2">
      <w:pPr>
        <w:spacing w:line="360" w:lineRule="auto"/>
        <w:rPr>
          <w:rFonts w:ascii="Times New Roman" w:hAnsi="Times New Roman" w:cs="Times New Roman"/>
          <w:sz w:val="24"/>
          <w:szCs w:val="24"/>
        </w:rPr>
      </w:pPr>
      <w:r w:rsidRPr="00DC46D2">
        <w:rPr>
          <w:rFonts w:ascii="Times New Roman" w:hAnsi="Times New Roman" w:cs="Times New Roman"/>
          <w:sz w:val="24"/>
          <w:szCs w:val="24"/>
        </w:rPr>
        <w:t xml:space="preserve">Building a world class cyber security capacity does not require an expansion of education budgets. The Scandinavian and Baltic nations have each built a robust capacity, while maintaining stable levels of education funding. Again, the Baltic nations spent relatively less on education compared to the Scandinavians, again exposing the </w:t>
      </w:r>
      <w:r w:rsidR="00DC46D2" w:rsidRPr="00DC46D2">
        <w:rPr>
          <w:rFonts w:ascii="Times New Roman" w:hAnsi="Times New Roman" w:cs="Times New Roman"/>
          <w:sz w:val="24"/>
          <w:szCs w:val="24"/>
        </w:rPr>
        <w:t>cost-effective</w:t>
      </w:r>
      <w:r w:rsidRPr="00DC46D2">
        <w:rPr>
          <w:rFonts w:ascii="Times New Roman" w:hAnsi="Times New Roman" w:cs="Times New Roman"/>
          <w:sz w:val="24"/>
          <w:szCs w:val="24"/>
        </w:rPr>
        <w:t xml:space="preserve"> nature of cyber security programs. </w:t>
      </w:r>
      <w:r w:rsidR="00DC46D2" w:rsidRPr="00DC46D2">
        <w:rPr>
          <w:rFonts w:ascii="Times New Roman" w:hAnsi="Times New Roman" w:cs="Times New Roman"/>
          <w:sz w:val="24"/>
          <w:szCs w:val="24"/>
        </w:rPr>
        <w:t>The EU average for total spending on education in 2019 was 4.7% of GDP, demonstrating again Lithuania</w:t>
      </w:r>
      <w:r w:rsidR="00AB6D1A">
        <w:rPr>
          <w:rFonts w:ascii="Times New Roman" w:hAnsi="Times New Roman" w:cs="Times New Roman"/>
          <w:sz w:val="24"/>
          <w:szCs w:val="24"/>
        </w:rPr>
        <w:t>’s</w:t>
      </w:r>
      <w:r w:rsidR="00DC46D2" w:rsidRPr="00DC46D2">
        <w:rPr>
          <w:rFonts w:ascii="Times New Roman" w:hAnsi="Times New Roman" w:cs="Times New Roman"/>
          <w:sz w:val="24"/>
          <w:szCs w:val="24"/>
        </w:rPr>
        <w:t xml:space="preserve"> and Latvia’s ability to achieve world class capabilities without spending more than the EU average.  </w:t>
      </w:r>
    </w:p>
    <w:p w14:paraId="621AEC43" w14:textId="1CD6B9D0" w:rsidR="007D1613" w:rsidRDefault="00DC46D2" w:rsidP="007D1613">
      <w:pPr>
        <w:rPr>
          <w:noProof/>
        </w:rPr>
      </w:pPr>
      <w:r>
        <w:rPr>
          <w:noProof/>
        </w:rPr>
        <w:drawing>
          <wp:inline distT="0" distB="0" distL="0" distR="0" wp14:anchorId="74A320C6" wp14:editId="419FE60B">
            <wp:extent cx="6819900" cy="2270760"/>
            <wp:effectExtent l="0" t="0" r="0" b="15240"/>
            <wp:docPr id="6" name="Chart 6">
              <a:extLst xmlns:a="http://schemas.openxmlformats.org/drawingml/2006/main">
                <a:ext uri="{FF2B5EF4-FFF2-40B4-BE49-F238E27FC236}">
                  <a16:creationId xmlns:a16="http://schemas.microsoft.com/office/drawing/2014/main" id="{5C3CCE86-8847-4B49-A74A-21D93453C3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5310837" w14:textId="77777777" w:rsidR="00425F4B" w:rsidRDefault="00425F4B" w:rsidP="00425F4B">
      <w:pPr>
        <w:tabs>
          <w:tab w:val="left" w:pos="1644"/>
        </w:tabs>
        <w:spacing w:line="360" w:lineRule="auto"/>
        <w:rPr>
          <w:rFonts w:ascii="Times New Roman" w:hAnsi="Times New Roman" w:cs="Times New Roman"/>
          <w:sz w:val="24"/>
          <w:szCs w:val="24"/>
        </w:rPr>
      </w:pPr>
      <w:r w:rsidRPr="00425F4B">
        <w:rPr>
          <w:rFonts w:ascii="Times New Roman" w:hAnsi="Times New Roman" w:cs="Times New Roman"/>
          <w:sz w:val="24"/>
          <w:szCs w:val="24"/>
        </w:rPr>
        <w:t xml:space="preserve">The prevalence of STEM degrees is high throughout the Scandinavian nations, while Estonia and Latvia are noticeably behind. Considering the rates of STEM degrees amongst the ITU’s top ranking nations, we see a growing disconnect between STEM degree rates and cyber security. This demonstrates the ability to generate substantial capacity without an expansive or entrenched academic base. </w:t>
      </w:r>
    </w:p>
    <w:p w14:paraId="45400D00" w14:textId="1553204D" w:rsidR="00425F4B" w:rsidRPr="00425F4B" w:rsidRDefault="00425F4B" w:rsidP="00425F4B">
      <w:pPr>
        <w:tabs>
          <w:tab w:val="left" w:pos="1644"/>
        </w:tabs>
        <w:spacing w:line="360" w:lineRule="auto"/>
        <w:jc w:val="center"/>
        <w:rPr>
          <w:b/>
          <w:bCs/>
        </w:rPr>
      </w:pPr>
      <w:r w:rsidRPr="00425F4B">
        <w:rPr>
          <w:b/>
          <w:bCs/>
        </w:rPr>
        <w:t>Top Ranking Nations by % of STEM Degree</w:t>
      </w:r>
      <w:r w:rsidR="004843AC">
        <w:rPr>
          <w:b/>
          <w:bCs/>
        </w:rPr>
        <w:t xml:space="preserve"> Graduates 2019</w:t>
      </w:r>
    </w:p>
    <w:tbl>
      <w:tblPr>
        <w:tblStyle w:val="TableGrid"/>
        <w:tblW w:w="0" w:type="auto"/>
        <w:tblLook w:val="04A0" w:firstRow="1" w:lastRow="0" w:firstColumn="1" w:lastColumn="0" w:noHBand="0" w:noVBand="1"/>
      </w:tblPr>
      <w:tblGrid>
        <w:gridCol w:w="3596"/>
        <w:gridCol w:w="3597"/>
        <w:gridCol w:w="3597"/>
      </w:tblGrid>
      <w:tr w:rsidR="00425F4B" w14:paraId="6CBAA2A6" w14:textId="77777777" w:rsidTr="00425F4B">
        <w:tc>
          <w:tcPr>
            <w:tcW w:w="3596" w:type="dxa"/>
          </w:tcPr>
          <w:p w14:paraId="228CE53C" w14:textId="174DD575" w:rsidR="00425F4B" w:rsidRDefault="004843AC" w:rsidP="004843AC">
            <w:pPr>
              <w:tabs>
                <w:tab w:val="left" w:pos="1644"/>
              </w:tabs>
              <w:jc w:val="center"/>
            </w:pPr>
            <w:r>
              <w:t>United States</w:t>
            </w:r>
          </w:p>
        </w:tc>
        <w:tc>
          <w:tcPr>
            <w:tcW w:w="3597" w:type="dxa"/>
          </w:tcPr>
          <w:p w14:paraId="1242E892" w14:textId="70FADBFE" w:rsidR="00425F4B" w:rsidRDefault="004843AC" w:rsidP="004843AC">
            <w:pPr>
              <w:tabs>
                <w:tab w:val="left" w:pos="1644"/>
              </w:tabs>
              <w:jc w:val="center"/>
            </w:pPr>
            <w:r>
              <w:t>United Kingdom</w:t>
            </w:r>
          </w:p>
        </w:tc>
        <w:tc>
          <w:tcPr>
            <w:tcW w:w="3597" w:type="dxa"/>
          </w:tcPr>
          <w:p w14:paraId="2BE0DE3D" w14:textId="76A3EF15" w:rsidR="00425F4B" w:rsidRDefault="004843AC" w:rsidP="004843AC">
            <w:pPr>
              <w:tabs>
                <w:tab w:val="left" w:pos="1644"/>
              </w:tabs>
              <w:jc w:val="center"/>
            </w:pPr>
            <w:r>
              <w:t>Saudi Arabia</w:t>
            </w:r>
          </w:p>
        </w:tc>
      </w:tr>
      <w:tr w:rsidR="00425F4B" w14:paraId="05610E0F" w14:textId="77777777" w:rsidTr="00425F4B">
        <w:tc>
          <w:tcPr>
            <w:tcW w:w="3596" w:type="dxa"/>
          </w:tcPr>
          <w:p w14:paraId="4EFEA800" w14:textId="5102FF8B" w:rsidR="00425F4B" w:rsidRDefault="004843AC" w:rsidP="004843AC">
            <w:pPr>
              <w:tabs>
                <w:tab w:val="left" w:pos="1644"/>
              </w:tabs>
              <w:jc w:val="center"/>
            </w:pPr>
            <w:r>
              <w:t>#1</w:t>
            </w:r>
          </w:p>
        </w:tc>
        <w:tc>
          <w:tcPr>
            <w:tcW w:w="3597" w:type="dxa"/>
          </w:tcPr>
          <w:p w14:paraId="1A7FDED8" w14:textId="0B1A2726" w:rsidR="00425F4B" w:rsidRDefault="004843AC" w:rsidP="004843AC">
            <w:pPr>
              <w:tabs>
                <w:tab w:val="left" w:pos="1644"/>
              </w:tabs>
              <w:jc w:val="center"/>
            </w:pPr>
            <w:r>
              <w:t>#2</w:t>
            </w:r>
          </w:p>
        </w:tc>
        <w:tc>
          <w:tcPr>
            <w:tcW w:w="3597" w:type="dxa"/>
          </w:tcPr>
          <w:p w14:paraId="3694CBF4" w14:textId="49ADBC1F" w:rsidR="00425F4B" w:rsidRDefault="004843AC" w:rsidP="004843AC">
            <w:pPr>
              <w:tabs>
                <w:tab w:val="left" w:pos="1644"/>
              </w:tabs>
              <w:jc w:val="center"/>
            </w:pPr>
            <w:r>
              <w:t>#3</w:t>
            </w:r>
          </w:p>
        </w:tc>
      </w:tr>
      <w:tr w:rsidR="00425F4B" w14:paraId="28829D8E" w14:textId="77777777" w:rsidTr="00425F4B">
        <w:tc>
          <w:tcPr>
            <w:tcW w:w="3596" w:type="dxa"/>
          </w:tcPr>
          <w:p w14:paraId="5349097C" w14:textId="5EA63BEA" w:rsidR="00425F4B" w:rsidRDefault="004843AC" w:rsidP="004843AC">
            <w:pPr>
              <w:tabs>
                <w:tab w:val="left" w:pos="1644"/>
              </w:tabs>
              <w:jc w:val="center"/>
            </w:pPr>
            <w:r>
              <w:t>19%</w:t>
            </w:r>
          </w:p>
        </w:tc>
        <w:tc>
          <w:tcPr>
            <w:tcW w:w="3597" w:type="dxa"/>
          </w:tcPr>
          <w:p w14:paraId="33FDC6C5" w14:textId="564083F4" w:rsidR="00425F4B" w:rsidRDefault="004843AC" w:rsidP="004843AC">
            <w:pPr>
              <w:tabs>
                <w:tab w:val="left" w:pos="1644"/>
              </w:tabs>
              <w:jc w:val="center"/>
            </w:pPr>
            <w:r>
              <w:t>26%</w:t>
            </w:r>
          </w:p>
        </w:tc>
        <w:tc>
          <w:tcPr>
            <w:tcW w:w="3597" w:type="dxa"/>
          </w:tcPr>
          <w:p w14:paraId="29BF3C8C" w14:textId="3DAC41EC" w:rsidR="00425F4B" w:rsidRDefault="004843AC" w:rsidP="004843AC">
            <w:pPr>
              <w:tabs>
                <w:tab w:val="left" w:pos="1644"/>
              </w:tabs>
              <w:jc w:val="center"/>
            </w:pPr>
            <w:r>
              <w:t>32%</w:t>
            </w:r>
          </w:p>
        </w:tc>
      </w:tr>
    </w:tbl>
    <w:p w14:paraId="0B7CD7BA" w14:textId="42AB9A07" w:rsidR="007D1613" w:rsidRDefault="00F91CA7" w:rsidP="007D1613">
      <w:pPr>
        <w:tabs>
          <w:tab w:val="left" w:pos="1644"/>
        </w:tabs>
      </w:pPr>
      <w:r>
        <w:lastRenderedPageBreak/>
        <w:t xml:space="preserve">Data provided by: </w:t>
      </w:r>
    </w:p>
    <w:p w14:paraId="4C40DA7B" w14:textId="6C57EA6B" w:rsidR="00F91CA7" w:rsidRDefault="00F91CA7" w:rsidP="007D1613">
      <w:pPr>
        <w:tabs>
          <w:tab w:val="left" w:pos="1644"/>
        </w:tabs>
      </w:pPr>
      <w:hyperlink r:id="rId13" w:history="1">
        <w:r w:rsidRPr="003C4F6E">
          <w:rPr>
            <w:rStyle w:val="Hyperlink"/>
          </w:rPr>
          <w:t>https://www.itu.int/en/ITU-D/Cybersecurity/Pages/global-cybersecurity-index.aspx</w:t>
        </w:r>
      </w:hyperlink>
    </w:p>
    <w:p w14:paraId="3FEA0A71" w14:textId="2CAD6571" w:rsidR="00F91CA7" w:rsidRDefault="00F91CA7" w:rsidP="007D1613">
      <w:pPr>
        <w:tabs>
          <w:tab w:val="left" w:pos="1644"/>
        </w:tabs>
      </w:pPr>
      <w:hyperlink r:id="rId14" w:history="1">
        <w:r w:rsidRPr="003C4F6E">
          <w:rPr>
            <w:rStyle w:val="Hyperlink"/>
          </w:rPr>
          <w:t>http://uis.unesco.org/en/topic/research-and-development</w:t>
        </w:r>
      </w:hyperlink>
    </w:p>
    <w:p w14:paraId="127E9BE4" w14:textId="09A00FB4" w:rsidR="00F91CA7" w:rsidRDefault="00F91CA7" w:rsidP="007D1613">
      <w:pPr>
        <w:tabs>
          <w:tab w:val="left" w:pos="1644"/>
        </w:tabs>
      </w:pPr>
      <w:hyperlink r:id="rId15" w:history="1">
        <w:r w:rsidRPr="003C4F6E">
          <w:rPr>
            <w:rStyle w:val="Hyperlink"/>
          </w:rPr>
          <w:t>https://data.oecd.org/rd/gross-domestic-spending-on-r-d.htm</w:t>
        </w:r>
      </w:hyperlink>
    </w:p>
    <w:p w14:paraId="2EBDD222" w14:textId="388F290D" w:rsidR="00F91CA7" w:rsidRDefault="00F91CA7" w:rsidP="007D1613">
      <w:pPr>
        <w:tabs>
          <w:tab w:val="left" w:pos="1644"/>
        </w:tabs>
      </w:pPr>
      <w:hyperlink r:id="rId16" w:history="1">
        <w:r w:rsidRPr="003C4F6E">
          <w:rPr>
            <w:rStyle w:val="Hyperlink"/>
          </w:rPr>
          <w:t>http://data.uis.unesco.org/#</w:t>
        </w:r>
      </w:hyperlink>
    </w:p>
    <w:p w14:paraId="3D67DFBA" w14:textId="089D2858" w:rsidR="00F91CA7" w:rsidRDefault="00F91CA7" w:rsidP="007D1613">
      <w:pPr>
        <w:tabs>
          <w:tab w:val="left" w:pos="1644"/>
        </w:tabs>
      </w:pPr>
      <w:hyperlink r:id="rId17" w:history="1">
        <w:r w:rsidRPr="003C4F6E">
          <w:rPr>
            <w:rStyle w:val="Hyperlink"/>
          </w:rPr>
          <w:t>https://www.oecd-ilibrary.org/education/education-at-a-glance-2012/summary/english_eag-2012-sum-en?parentId=http%3A%2F%2Finstance.metastore.ingenta.com%2Fcontent%2Fpublication%2Feag-2012-en</w:t>
        </w:r>
      </w:hyperlink>
    </w:p>
    <w:p w14:paraId="59B0C5A6" w14:textId="1BB6CC13" w:rsidR="00F91CA7" w:rsidRDefault="00F91CA7" w:rsidP="007D1613">
      <w:pPr>
        <w:tabs>
          <w:tab w:val="left" w:pos="1644"/>
        </w:tabs>
      </w:pPr>
      <w:hyperlink r:id="rId18" w:history="1">
        <w:r w:rsidRPr="003C4F6E">
          <w:rPr>
            <w:rStyle w:val="Hyperlink"/>
          </w:rPr>
          <w:t>https://data.worldbank.org/indicator/MS.MIL.XPND.CD</w:t>
        </w:r>
      </w:hyperlink>
    </w:p>
    <w:p w14:paraId="7A1C0114" w14:textId="77777777" w:rsidR="00F91CA7" w:rsidRDefault="00F91CA7" w:rsidP="007D1613">
      <w:pPr>
        <w:tabs>
          <w:tab w:val="left" w:pos="1644"/>
        </w:tabs>
      </w:pPr>
    </w:p>
    <w:p w14:paraId="7C256BF5" w14:textId="77777777" w:rsidR="00F91CA7" w:rsidRPr="007D1613" w:rsidRDefault="00F91CA7" w:rsidP="007D1613">
      <w:pPr>
        <w:tabs>
          <w:tab w:val="left" w:pos="1644"/>
        </w:tabs>
      </w:pPr>
    </w:p>
    <w:sectPr w:rsidR="00F91CA7" w:rsidRPr="007D1613" w:rsidSect="00721D6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EE04C" w14:textId="77777777" w:rsidR="00DB6165" w:rsidRDefault="00DB6165" w:rsidP="008309DC">
      <w:pPr>
        <w:spacing w:after="0" w:line="240" w:lineRule="auto"/>
      </w:pPr>
      <w:r>
        <w:separator/>
      </w:r>
    </w:p>
  </w:endnote>
  <w:endnote w:type="continuationSeparator" w:id="0">
    <w:p w14:paraId="38F86BB8" w14:textId="77777777" w:rsidR="00DB6165" w:rsidRDefault="00DB6165" w:rsidP="008309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53A70" w14:textId="77777777" w:rsidR="00DB6165" w:rsidRDefault="00DB6165" w:rsidP="008309DC">
      <w:pPr>
        <w:spacing w:after="0" w:line="240" w:lineRule="auto"/>
      </w:pPr>
      <w:r>
        <w:separator/>
      </w:r>
    </w:p>
  </w:footnote>
  <w:footnote w:type="continuationSeparator" w:id="0">
    <w:p w14:paraId="6950970D" w14:textId="77777777" w:rsidR="00DB6165" w:rsidRDefault="00DB6165" w:rsidP="008309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D61"/>
    <w:rsid w:val="00150F57"/>
    <w:rsid w:val="00196595"/>
    <w:rsid w:val="002F542D"/>
    <w:rsid w:val="00414CC3"/>
    <w:rsid w:val="00425F4B"/>
    <w:rsid w:val="0043648E"/>
    <w:rsid w:val="004843AC"/>
    <w:rsid w:val="00507457"/>
    <w:rsid w:val="00634A50"/>
    <w:rsid w:val="00721D61"/>
    <w:rsid w:val="00795B07"/>
    <w:rsid w:val="007D1613"/>
    <w:rsid w:val="008309DC"/>
    <w:rsid w:val="008A4488"/>
    <w:rsid w:val="008B07AF"/>
    <w:rsid w:val="008F2B7C"/>
    <w:rsid w:val="009A1DBA"/>
    <w:rsid w:val="00AA703E"/>
    <w:rsid w:val="00AB6D1A"/>
    <w:rsid w:val="00AD056B"/>
    <w:rsid w:val="00AF49F0"/>
    <w:rsid w:val="00B27176"/>
    <w:rsid w:val="00B71B37"/>
    <w:rsid w:val="00BD6D3E"/>
    <w:rsid w:val="00CC3C7C"/>
    <w:rsid w:val="00DB6165"/>
    <w:rsid w:val="00DC46D2"/>
    <w:rsid w:val="00ED60A5"/>
    <w:rsid w:val="00EF516C"/>
    <w:rsid w:val="00F172F7"/>
    <w:rsid w:val="00F360AF"/>
    <w:rsid w:val="00F6029E"/>
    <w:rsid w:val="00F75400"/>
    <w:rsid w:val="00F91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28911"/>
  <w15:chartTrackingRefBased/>
  <w15:docId w15:val="{4F80228E-617A-43FF-8A2C-EBC4D2C58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09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09DC"/>
  </w:style>
  <w:style w:type="paragraph" w:styleId="Footer">
    <w:name w:val="footer"/>
    <w:basedOn w:val="Normal"/>
    <w:link w:val="FooterChar"/>
    <w:uiPriority w:val="99"/>
    <w:unhideWhenUsed/>
    <w:rsid w:val="008309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09DC"/>
  </w:style>
  <w:style w:type="character" w:styleId="Hyperlink">
    <w:name w:val="Hyperlink"/>
    <w:basedOn w:val="DefaultParagraphFont"/>
    <w:uiPriority w:val="99"/>
    <w:unhideWhenUsed/>
    <w:rsid w:val="008309DC"/>
    <w:rPr>
      <w:color w:val="0563C1" w:themeColor="hyperlink"/>
      <w:u w:val="single"/>
    </w:rPr>
  </w:style>
  <w:style w:type="table" w:styleId="TableGrid">
    <w:name w:val="Table Grid"/>
    <w:basedOn w:val="TableNormal"/>
    <w:uiPriority w:val="39"/>
    <w:rsid w:val="008F2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91C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yperlink" Target="https://www.itu.int/en/ITU-D/Cybersecurity/Pages/global-cybersecurity-index.aspx" TargetMode="External"/><Relationship Id="rId18" Type="http://schemas.openxmlformats.org/officeDocument/2006/relationships/hyperlink" Target="https://data.worldbank.org/indicator/MS.MIL.XPND.CD" TargetMode="External"/><Relationship Id="rId3" Type="http://schemas.openxmlformats.org/officeDocument/2006/relationships/webSettings" Target="web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hyperlink" Target="https://www.oecd-ilibrary.org/education/education-at-a-glance-2012/summary/english_eag-2012-sum-en?parentId=http%3A%2F%2Finstance.metastore.ingenta.com%2Fcontent%2Fpublication%2Feag-2012-en" TargetMode="External"/><Relationship Id="rId2" Type="http://schemas.openxmlformats.org/officeDocument/2006/relationships/settings" Target="settings.xml"/><Relationship Id="rId16" Type="http://schemas.openxmlformats.org/officeDocument/2006/relationships/hyperlink" Target="http://data.uis.unesco.org/#"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globalaffairswithgregayres.com/" TargetMode="External"/><Relationship Id="rId11" Type="http://schemas.openxmlformats.org/officeDocument/2006/relationships/chart" Target="charts/chart5.xml"/><Relationship Id="rId5" Type="http://schemas.openxmlformats.org/officeDocument/2006/relationships/endnotes" Target="endnotes.xml"/><Relationship Id="rId15" Type="http://schemas.openxmlformats.org/officeDocument/2006/relationships/hyperlink" Target="https://data.oecd.org/rd/gross-domestic-spending-on-r-d.htm" TargetMode="External"/><Relationship Id="rId10" Type="http://schemas.openxmlformats.org/officeDocument/2006/relationships/chart" Target="charts/chart4.xm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chart" Target="charts/chart3.xml"/><Relationship Id="rId14" Type="http://schemas.openxmlformats.org/officeDocument/2006/relationships/hyperlink" Target="http://uis.unesco.org/en/topic/research-and-development"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Baltics\Prelim%20Data%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Baltics\Prelim%20Data%2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Baltics\Prelim%20Data%20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Baltics\Prelim%20Data%20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Baltics\Prelim%20Data%20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Baltics\Prelim%20Data%201.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ITU</a:t>
            </a:r>
            <a:r>
              <a:rPr lang="en-US" baseline="0"/>
              <a:t> Cyber Security Index Scores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Sheet1!$K$3</c:f>
              <c:strCache>
                <c:ptCount val="1"/>
                <c:pt idx="0">
                  <c:v>Norway</c:v>
                </c:pt>
              </c:strCache>
            </c:strRef>
          </c:tx>
          <c:spPr>
            <a:ln w="28575" cap="rnd">
              <a:solidFill>
                <a:schemeClr val="accent1"/>
              </a:solidFill>
              <a:round/>
            </a:ln>
            <a:effectLst/>
          </c:spPr>
          <c:marker>
            <c:symbol val="none"/>
          </c:marker>
          <c:cat>
            <c:numRef>
              <c:f>Sheet1!$L$2:$O$2</c:f>
              <c:numCache>
                <c:formatCode>General</c:formatCode>
                <c:ptCount val="4"/>
                <c:pt idx="0">
                  <c:v>2014</c:v>
                </c:pt>
                <c:pt idx="1">
                  <c:v>2017</c:v>
                </c:pt>
                <c:pt idx="2">
                  <c:v>2018</c:v>
                </c:pt>
                <c:pt idx="3">
                  <c:v>2020</c:v>
                </c:pt>
              </c:numCache>
            </c:numRef>
          </c:cat>
          <c:val>
            <c:numRef>
              <c:f>Sheet1!$L$3:$O$3</c:f>
              <c:numCache>
                <c:formatCode>General</c:formatCode>
                <c:ptCount val="4"/>
                <c:pt idx="0">
                  <c:v>73.5</c:v>
                </c:pt>
                <c:pt idx="1">
                  <c:v>78.599999999999994</c:v>
                </c:pt>
                <c:pt idx="2">
                  <c:v>89.2</c:v>
                </c:pt>
                <c:pt idx="3">
                  <c:v>96.89</c:v>
                </c:pt>
              </c:numCache>
            </c:numRef>
          </c:val>
          <c:smooth val="0"/>
          <c:extLst>
            <c:ext xmlns:c16="http://schemas.microsoft.com/office/drawing/2014/chart" uri="{C3380CC4-5D6E-409C-BE32-E72D297353CC}">
              <c16:uniqueId val="{00000000-70D3-44C4-AC93-950B43B361F6}"/>
            </c:ext>
          </c:extLst>
        </c:ser>
        <c:ser>
          <c:idx val="1"/>
          <c:order val="1"/>
          <c:tx>
            <c:strRef>
              <c:f>Sheet1!$K$4</c:f>
              <c:strCache>
                <c:ptCount val="1"/>
                <c:pt idx="0">
                  <c:v>Sweden</c:v>
                </c:pt>
              </c:strCache>
            </c:strRef>
          </c:tx>
          <c:spPr>
            <a:ln w="28575" cap="rnd">
              <a:solidFill>
                <a:schemeClr val="accent2"/>
              </a:solidFill>
              <a:round/>
            </a:ln>
            <a:effectLst/>
          </c:spPr>
          <c:marker>
            <c:symbol val="none"/>
          </c:marker>
          <c:cat>
            <c:numRef>
              <c:f>Sheet1!$L$2:$O$2</c:f>
              <c:numCache>
                <c:formatCode>General</c:formatCode>
                <c:ptCount val="4"/>
                <c:pt idx="0">
                  <c:v>2014</c:v>
                </c:pt>
                <c:pt idx="1">
                  <c:v>2017</c:v>
                </c:pt>
                <c:pt idx="2">
                  <c:v>2018</c:v>
                </c:pt>
                <c:pt idx="3">
                  <c:v>2020</c:v>
                </c:pt>
              </c:numCache>
            </c:numRef>
          </c:cat>
          <c:val>
            <c:numRef>
              <c:f>Sheet1!$L$4:$O$4</c:f>
              <c:numCache>
                <c:formatCode>General</c:formatCode>
                <c:ptCount val="4"/>
                <c:pt idx="0">
                  <c:v>64.7</c:v>
                </c:pt>
                <c:pt idx="1">
                  <c:v>73.3</c:v>
                </c:pt>
                <c:pt idx="2">
                  <c:v>81</c:v>
                </c:pt>
                <c:pt idx="3">
                  <c:v>94.55</c:v>
                </c:pt>
              </c:numCache>
            </c:numRef>
          </c:val>
          <c:smooth val="0"/>
          <c:extLst>
            <c:ext xmlns:c16="http://schemas.microsoft.com/office/drawing/2014/chart" uri="{C3380CC4-5D6E-409C-BE32-E72D297353CC}">
              <c16:uniqueId val="{00000001-70D3-44C4-AC93-950B43B361F6}"/>
            </c:ext>
          </c:extLst>
        </c:ser>
        <c:ser>
          <c:idx val="2"/>
          <c:order val="2"/>
          <c:tx>
            <c:strRef>
              <c:f>Sheet1!$K$5</c:f>
              <c:strCache>
                <c:ptCount val="1"/>
                <c:pt idx="0">
                  <c:v>Finland</c:v>
                </c:pt>
              </c:strCache>
            </c:strRef>
          </c:tx>
          <c:spPr>
            <a:ln w="28575" cap="rnd">
              <a:solidFill>
                <a:schemeClr val="accent3"/>
              </a:solidFill>
              <a:round/>
            </a:ln>
            <a:effectLst/>
          </c:spPr>
          <c:marker>
            <c:symbol val="none"/>
          </c:marker>
          <c:cat>
            <c:numRef>
              <c:f>Sheet1!$L$2:$O$2</c:f>
              <c:numCache>
                <c:formatCode>General</c:formatCode>
                <c:ptCount val="4"/>
                <c:pt idx="0">
                  <c:v>2014</c:v>
                </c:pt>
                <c:pt idx="1">
                  <c:v>2017</c:v>
                </c:pt>
                <c:pt idx="2">
                  <c:v>2018</c:v>
                </c:pt>
                <c:pt idx="3">
                  <c:v>2020</c:v>
                </c:pt>
              </c:numCache>
            </c:numRef>
          </c:cat>
          <c:val>
            <c:numRef>
              <c:f>Sheet1!$L$5:$O$5</c:f>
              <c:numCache>
                <c:formatCode>General</c:formatCode>
                <c:ptCount val="4"/>
                <c:pt idx="0">
                  <c:v>61.8</c:v>
                </c:pt>
                <c:pt idx="1">
                  <c:v>74.099999999999994</c:v>
                </c:pt>
                <c:pt idx="2">
                  <c:v>85.6</c:v>
                </c:pt>
                <c:pt idx="3">
                  <c:v>95.78</c:v>
                </c:pt>
              </c:numCache>
            </c:numRef>
          </c:val>
          <c:smooth val="0"/>
          <c:extLst>
            <c:ext xmlns:c16="http://schemas.microsoft.com/office/drawing/2014/chart" uri="{C3380CC4-5D6E-409C-BE32-E72D297353CC}">
              <c16:uniqueId val="{00000002-70D3-44C4-AC93-950B43B361F6}"/>
            </c:ext>
          </c:extLst>
        </c:ser>
        <c:ser>
          <c:idx val="4"/>
          <c:order val="4"/>
          <c:tx>
            <c:strRef>
              <c:f>Sheet1!$K$7</c:f>
              <c:strCache>
                <c:ptCount val="1"/>
                <c:pt idx="0">
                  <c:v>Estonia</c:v>
                </c:pt>
              </c:strCache>
            </c:strRef>
          </c:tx>
          <c:spPr>
            <a:ln w="28575" cap="rnd">
              <a:solidFill>
                <a:schemeClr val="accent5"/>
              </a:solidFill>
              <a:round/>
            </a:ln>
            <a:effectLst/>
          </c:spPr>
          <c:marker>
            <c:symbol val="none"/>
          </c:marker>
          <c:cat>
            <c:numRef>
              <c:f>Sheet1!$L$2:$O$2</c:f>
              <c:numCache>
                <c:formatCode>General</c:formatCode>
                <c:ptCount val="4"/>
                <c:pt idx="0">
                  <c:v>2014</c:v>
                </c:pt>
                <c:pt idx="1">
                  <c:v>2017</c:v>
                </c:pt>
                <c:pt idx="2">
                  <c:v>2018</c:v>
                </c:pt>
                <c:pt idx="3">
                  <c:v>2020</c:v>
                </c:pt>
              </c:numCache>
            </c:numRef>
          </c:cat>
          <c:val>
            <c:numRef>
              <c:f>Sheet1!$L$7:$O$7</c:f>
              <c:numCache>
                <c:formatCode>General</c:formatCode>
                <c:ptCount val="4"/>
                <c:pt idx="0">
                  <c:v>70.599999999999994</c:v>
                </c:pt>
                <c:pt idx="1">
                  <c:v>84.6</c:v>
                </c:pt>
                <c:pt idx="2">
                  <c:v>90.5</c:v>
                </c:pt>
                <c:pt idx="3">
                  <c:v>99.48</c:v>
                </c:pt>
              </c:numCache>
            </c:numRef>
          </c:val>
          <c:smooth val="0"/>
          <c:extLst>
            <c:ext xmlns:c16="http://schemas.microsoft.com/office/drawing/2014/chart" uri="{C3380CC4-5D6E-409C-BE32-E72D297353CC}">
              <c16:uniqueId val="{00000003-70D3-44C4-AC93-950B43B361F6}"/>
            </c:ext>
          </c:extLst>
        </c:ser>
        <c:ser>
          <c:idx val="5"/>
          <c:order val="5"/>
          <c:tx>
            <c:strRef>
              <c:f>Sheet1!$K$8</c:f>
              <c:strCache>
                <c:ptCount val="1"/>
                <c:pt idx="0">
                  <c:v>Latvia</c:v>
                </c:pt>
              </c:strCache>
            </c:strRef>
          </c:tx>
          <c:spPr>
            <a:ln w="28575" cap="rnd">
              <a:solidFill>
                <a:schemeClr val="accent6"/>
              </a:solidFill>
              <a:round/>
            </a:ln>
            <a:effectLst/>
          </c:spPr>
          <c:marker>
            <c:symbol val="none"/>
          </c:marker>
          <c:cat>
            <c:numRef>
              <c:f>Sheet1!$L$2:$O$2</c:f>
              <c:numCache>
                <c:formatCode>General</c:formatCode>
                <c:ptCount val="4"/>
                <c:pt idx="0">
                  <c:v>2014</c:v>
                </c:pt>
                <c:pt idx="1">
                  <c:v>2017</c:v>
                </c:pt>
                <c:pt idx="2">
                  <c:v>2018</c:v>
                </c:pt>
                <c:pt idx="3">
                  <c:v>2020</c:v>
                </c:pt>
              </c:numCache>
            </c:numRef>
          </c:cat>
          <c:val>
            <c:numRef>
              <c:f>Sheet1!$L$8:$O$8</c:f>
              <c:numCache>
                <c:formatCode>General</c:formatCode>
                <c:ptCount val="4"/>
                <c:pt idx="0">
                  <c:v>64.7</c:v>
                </c:pt>
                <c:pt idx="1">
                  <c:v>68.8</c:v>
                </c:pt>
                <c:pt idx="2">
                  <c:v>74.8</c:v>
                </c:pt>
                <c:pt idx="3">
                  <c:v>97.28</c:v>
                </c:pt>
              </c:numCache>
            </c:numRef>
          </c:val>
          <c:smooth val="0"/>
          <c:extLst>
            <c:ext xmlns:c16="http://schemas.microsoft.com/office/drawing/2014/chart" uri="{C3380CC4-5D6E-409C-BE32-E72D297353CC}">
              <c16:uniqueId val="{00000004-70D3-44C4-AC93-950B43B361F6}"/>
            </c:ext>
          </c:extLst>
        </c:ser>
        <c:ser>
          <c:idx val="6"/>
          <c:order val="6"/>
          <c:tx>
            <c:strRef>
              <c:f>Sheet1!$K$9</c:f>
              <c:strCache>
                <c:ptCount val="1"/>
                <c:pt idx="0">
                  <c:v>Lithuania</c:v>
                </c:pt>
              </c:strCache>
            </c:strRef>
          </c:tx>
          <c:spPr>
            <a:ln w="28575" cap="rnd">
              <a:solidFill>
                <a:schemeClr val="accent1">
                  <a:lumMod val="60000"/>
                </a:schemeClr>
              </a:solidFill>
              <a:round/>
            </a:ln>
            <a:effectLst/>
          </c:spPr>
          <c:marker>
            <c:symbol val="none"/>
          </c:marker>
          <c:cat>
            <c:numRef>
              <c:f>Sheet1!$L$2:$O$2</c:f>
              <c:numCache>
                <c:formatCode>General</c:formatCode>
                <c:ptCount val="4"/>
                <c:pt idx="0">
                  <c:v>2014</c:v>
                </c:pt>
                <c:pt idx="1">
                  <c:v>2017</c:v>
                </c:pt>
                <c:pt idx="2">
                  <c:v>2018</c:v>
                </c:pt>
                <c:pt idx="3">
                  <c:v>2020</c:v>
                </c:pt>
              </c:numCache>
            </c:numRef>
          </c:cat>
          <c:val>
            <c:numRef>
              <c:f>Sheet1!$L$9:$O$9</c:f>
              <c:numCache>
                <c:formatCode>General</c:formatCode>
                <c:ptCount val="4"/>
                <c:pt idx="0">
                  <c:v>44.1</c:v>
                </c:pt>
                <c:pt idx="1">
                  <c:v>50.4</c:v>
                </c:pt>
                <c:pt idx="2">
                  <c:v>90.8</c:v>
                </c:pt>
                <c:pt idx="3">
                  <c:v>97.93</c:v>
                </c:pt>
              </c:numCache>
            </c:numRef>
          </c:val>
          <c:smooth val="0"/>
          <c:extLst>
            <c:ext xmlns:c16="http://schemas.microsoft.com/office/drawing/2014/chart" uri="{C3380CC4-5D6E-409C-BE32-E72D297353CC}">
              <c16:uniqueId val="{00000005-70D3-44C4-AC93-950B43B361F6}"/>
            </c:ext>
          </c:extLst>
        </c:ser>
        <c:dLbls>
          <c:showLegendKey val="0"/>
          <c:showVal val="0"/>
          <c:showCatName val="0"/>
          <c:showSerName val="0"/>
          <c:showPercent val="0"/>
          <c:showBubbleSize val="0"/>
        </c:dLbls>
        <c:smooth val="0"/>
        <c:axId val="407959240"/>
        <c:axId val="407959568"/>
        <c:extLst>
          <c:ext xmlns:c15="http://schemas.microsoft.com/office/drawing/2012/chart" uri="{02D57815-91ED-43cb-92C2-25804820EDAC}">
            <c15:filteredLineSeries>
              <c15:ser>
                <c:idx val="3"/>
                <c:order val="3"/>
                <c:tx>
                  <c:strRef>
                    <c:extLst>
                      <c:ext uri="{02D57815-91ED-43cb-92C2-25804820EDAC}">
                        <c15:formulaRef>
                          <c15:sqref>Sheet1!$K$6</c15:sqref>
                        </c15:formulaRef>
                      </c:ext>
                    </c:extLst>
                    <c:strCache>
                      <c:ptCount val="1"/>
                    </c:strCache>
                  </c:strRef>
                </c:tx>
                <c:spPr>
                  <a:ln w="28575" cap="rnd">
                    <a:solidFill>
                      <a:schemeClr val="accent4"/>
                    </a:solidFill>
                    <a:round/>
                  </a:ln>
                  <a:effectLst/>
                </c:spPr>
                <c:marker>
                  <c:symbol val="none"/>
                </c:marker>
                <c:cat>
                  <c:numRef>
                    <c:extLst>
                      <c:ext uri="{02D57815-91ED-43cb-92C2-25804820EDAC}">
                        <c15:formulaRef>
                          <c15:sqref>Sheet1!$L$2:$O$2</c15:sqref>
                        </c15:formulaRef>
                      </c:ext>
                    </c:extLst>
                    <c:numCache>
                      <c:formatCode>General</c:formatCode>
                      <c:ptCount val="4"/>
                      <c:pt idx="0">
                        <c:v>2014</c:v>
                      </c:pt>
                      <c:pt idx="1">
                        <c:v>2017</c:v>
                      </c:pt>
                      <c:pt idx="2">
                        <c:v>2018</c:v>
                      </c:pt>
                      <c:pt idx="3">
                        <c:v>2020</c:v>
                      </c:pt>
                    </c:numCache>
                  </c:numRef>
                </c:cat>
                <c:val>
                  <c:numRef>
                    <c:extLst>
                      <c:ext uri="{02D57815-91ED-43cb-92C2-25804820EDAC}">
                        <c15:formulaRef>
                          <c15:sqref>Sheet1!$L$6:$O$6</c15:sqref>
                        </c15:formulaRef>
                      </c:ext>
                    </c:extLst>
                    <c:numCache>
                      <c:formatCode>General</c:formatCode>
                      <c:ptCount val="4"/>
                    </c:numCache>
                  </c:numRef>
                </c:val>
                <c:smooth val="0"/>
                <c:extLst>
                  <c:ext xmlns:c16="http://schemas.microsoft.com/office/drawing/2014/chart" uri="{C3380CC4-5D6E-409C-BE32-E72D297353CC}">
                    <c16:uniqueId val="{00000006-70D3-44C4-AC93-950B43B361F6}"/>
                  </c:ext>
                </c:extLst>
              </c15:ser>
            </c15:filteredLineSeries>
          </c:ext>
        </c:extLst>
      </c:lineChart>
      <c:dateAx>
        <c:axId val="40795924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959568"/>
        <c:crosses val="autoZero"/>
        <c:auto val="0"/>
        <c:lblOffset val="100"/>
        <c:baseTimeUnit val="days"/>
      </c:dateAx>
      <c:valAx>
        <c:axId val="407959568"/>
        <c:scaling>
          <c:orientation val="minMax"/>
          <c:max val="100"/>
          <c:min val="4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Index</a:t>
                </a:r>
                <a:r>
                  <a:rPr lang="en-US" baseline="0"/>
                  <a:t> Score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9592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Military</a:t>
            </a:r>
            <a:r>
              <a:rPr lang="en-US" baseline="0"/>
              <a:t> Spending</a:t>
            </a:r>
            <a:endParaRPr lang="en-US"/>
          </a:p>
        </c:rich>
      </c:tx>
      <c:layout>
        <c:manualLayout>
          <c:xMode val="edge"/>
          <c:yMode val="edge"/>
          <c:x val="0.35289566929133859"/>
          <c:y val="9.2592592592592587E-3"/>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3178937007874017"/>
          <c:y val="0.12078703703703704"/>
          <c:w val="0.8376550743657043"/>
          <c:h val="0.66033136482939636"/>
        </c:manualLayout>
      </c:layout>
      <c:lineChart>
        <c:grouping val="standard"/>
        <c:varyColors val="0"/>
        <c:ser>
          <c:idx val="0"/>
          <c:order val="0"/>
          <c:tx>
            <c:strRef>
              <c:f>Sheet2!$B$3</c:f>
              <c:strCache>
                <c:ptCount val="1"/>
                <c:pt idx="0">
                  <c:v>Norway</c:v>
                </c:pt>
              </c:strCache>
            </c:strRef>
          </c:tx>
          <c:spPr>
            <a:ln w="28575" cap="rnd">
              <a:solidFill>
                <a:schemeClr val="accent1"/>
              </a:solidFill>
              <a:round/>
            </a:ln>
            <a:effectLst/>
          </c:spPr>
          <c:marker>
            <c:symbol val="none"/>
          </c:marker>
          <c:cat>
            <c:numRef>
              <c:f>Sheet2!$C$2:$I$2</c:f>
              <c:numCache>
                <c:formatCode>General</c:formatCode>
                <c:ptCount val="7"/>
                <c:pt idx="0">
                  <c:v>2014</c:v>
                </c:pt>
                <c:pt idx="1">
                  <c:v>2015</c:v>
                </c:pt>
                <c:pt idx="2">
                  <c:v>2016</c:v>
                </c:pt>
                <c:pt idx="3">
                  <c:v>2017</c:v>
                </c:pt>
                <c:pt idx="4">
                  <c:v>2018</c:v>
                </c:pt>
                <c:pt idx="5">
                  <c:v>2019</c:v>
                </c:pt>
                <c:pt idx="6">
                  <c:v>2020</c:v>
                </c:pt>
              </c:numCache>
            </c:numRef>
          </c:cat>
          <c:val>
            <c:numRef>
              <c:f>Sheet2!$C$3:$I$3</c:f>
              <c:numCache>
                <c:formatCode>General</c:formatCode>
                <c:ptCount val="7"/>
                <c:pt idx="0">
                  <c:v>1.47</c:v>
                </c:pt>
                <c:pt idx="1">
                  <c:v>1.51</c:v>
                </c:pt>
                <c:pt idx="2">
                  <c:v>1.63</c:v>
                </c:pt>
                <c:pt idx="3">
                  <c:v>1.72</c:v>
                </c:pt>
                <c:pt idx="4">
                  <c:v>1.73</c:v>
                </c:pt>
                <c:pt idx="5">
                  <c:v>1.85</c:v>
                </c:pt>
                <c:pt idx="6">
                  <c:v>1.94</c:v>
                </c:pt>
              </c:numCache>
            </c:numRef>
          </c:val>
          <c:smooth val="0"/>
          <c:extLst>
            <c:ext xmlns:c16="http://schemas.microsoft.com/office/drawing/2014/chart" uri="{C3380CC4-5D6E-409C-BE32-E72D297353CC}">
              <c16:uniqueId val="{00000000-B199-4561-AEC5-FAEE3B12841A}"/>
            </c:ext>
          </c:extLst>
        </c:ser>
        <c:ser>
          <c:idx val="1"/>
          <c:order val="1"/>
          <c:tx>
            <c:strRef>
              <c:f>Sheet2!$B$4</c:f>
              <c:strCache>
                <c:ptCount val="1"/>
                <c:pt idx="0">
                  <c:v>Sweden</c:v>
                </c:pt>
              </c:strCache>
            </c:strRef>
          </c:tx>
          <c:spPr>
            <a:ln w="28575" cap="rnd">
              <a:solidFill>
                <a:schemeClr val="accent2"/>
              </a:solidFill>
              <a:round/>
            </a:ln>
            <a:effectLst/>
          </c:spPr>
          <c:marker>
            <c:symbol val="none"/>
          </c:marker>
          <c:cat>
            <c:numRef>
              <c:f>Sheet2!$C$2:$I$2</c:f>
              <c:numCache>
                <c:formatCode>General</c:formatCode>
                <c:ptCount val="7"/>
                <c:pt idx="0">
                  <c:v>2014</c:v>
                </c:pt>
                <c:pt idx="1">
                  <c:v>2015</c:v>
                </c:pt>
                <c:pt idx="2">
                  <c:v>2016</c:v>
                </c:pt>
                <c:pt idx="3">
                  <c:v>2017</c:v>
                </c:pt>
                <c:pt idx="4">
                  <c:v>2018</c:v>
                </c:pt>
                <c:pt idx="5">
                  <c:v>2019</c:v>
                </c:pt>
                <c:pt idx="6">
                  <c:v>2020</c:v>
                </c:pt>
              </c:numCache>
            </c:numRef>
          </c:cat>
          <c:val>
            <c:numRef>
              <c:f>Sheet2!$C$4:$I$4</c:f>
              <c:numCache>
                <c:formatCode>General</c:formatCode>
                <c:ptCount val="7"/>
                <c:pt idx="0">
                  <c:v>1.1299999999999999</c:v>
                </c:pt>
                <c:pt idx="1">
                  <c:v>1.07</c:v>
                </c:pt>
                <c:pt idx="2">
                  <c:v>1.05</c:v>
                </c:pt>
                <c:pt idx="3">
                  <c:v>1.02</c:v>
                </c:pt>
                <c:pt idx="4">
                  <c:v>1.03</c:v>
                </c:pt>
                <c:pt idx="5">
                  <c:v>1.1000000000000001</c:v>
                </c:pt>
                <c:pt idx="6">
                  <c:v>1.22</c:v>
                </c:pt>
              </c:numCache>
            </c:numRef>
          </c:val>
          <c:smooth val="0"/>
          <c:extLst>
            <c:ext xmlns:c16="http://schemas.microsoft.com/office/drawing/2014/chart" uri="{C3380CC4-5D6E-409C-BE32-E72D297353CC}">
              <c16:uniqueId val="{00000001-B199-4561-AEC5-FAEE3B12841A}"/>
            </c:ext>
          </c:extLst>
        </c:ser>
        <c:ser>
          <c:idx val="2"/>
          <c:order val="2"/>
          <c:tx>
            <c:strRef>
              <c:f>Sheet2!$B$5</c:f>
              <c:strCache>
                <c:ptCount val="1"/>
                <c:pt idx="0">
                  <c:v>Finland</c:v>
                </c:pt>
              </c:strCache>
            </c:strRef>
          </c:tx>
          <c:spPr>
            <a:ln w="28575" cap="rnd">
              <a:solidFill>
                <a:schemeClr val="accent3"/>
              </a:solidFill>
              <a:round/>
            </a:ln>
            <a:effectLst/>
          </c:spPr>
          <c:marker>
            <c:symbol val="none"/>
          </c:marker>
          <c:cat>
            <c:numRef>
              <c:f>Sheet2!$C$2:$I$2</c:f>
              <c:numCache>
                <c:formatCode>General</c:formatCode>
                <c:ptCount val="7"/>
                <c:pt idx="0">
                  <c:v>2014</c:v>
                </c:pt>
                <c:pt idx="1">
                  <c:v>2015</c:v>
                </c:pt>
                <c:pt idx="2">
                  <c:v>2016</c:v>
                </c:pt>
                <c:pt idx="3">
                  <c:v>2017</c:v>
                </c:pt>
                <c:pt idx="4">
                  <c:v>2018</c:v>
                </c:pt>
                <c:pt idx="5">
                  <c:v>2019</c:v>
                </c:pt>
                <c:pt idx="6">
                  <c:v>2020</c:v>
                </c:pt>
              </c:numCache>
            </c:numRef>
          </c:cat>
          <c:val>
            <c:numRef>
              <c:f>Sheet2!$C$5:$I$5</c:f>
              <c:numCache>
                <c:formatCode>General</c:formatCode>
                <c:ptCount val="7"/>
                <c:pt idx="0">
                  <c:v>1.45</c:v>
                </c:pt>
                <c:pt idx="1">
                  <c:v>1.45</c:v>
                </c:pt>
                <c:pt idx="2">
                  <c:v>1.42</c:v>
                </c:pt>
                <c:pt idx="3">
                  <c:v>1.35</c:v>
                </c:pt>
                <c:pt idx="4">
                  <c:v>1.36</c:v>
                </c:pt>
                <c:pt idx="5">
                  <c:v>1.35</c:v>
                </c:pt>
                <c:pt idx="6">
                  <c:v>1.53</c:v>
                </c:pt>
              </c:numCache>
            </c:numRef>
          </c:val>
          <c:smooth val="0"/>
          <c:extLst>
            <c:ext xmlns:c16="http://schemas.microsoft.com/office/drawing/2014/chart" uri="{C3380CC4-5D6E-409C-BE32-E72D297353CC}">
              <c16:uniqueId val="{00000002-B199-4561-AEC5-FAEE3B12841A}"/>
            </c:ext>
          </c:extLst>
        </c:ser>
        <c:ser>
          <c:idx val="4"/>
          <c:order val="4"/>
          <c:tx>
            <c:strRef>
              <c:f>Sheet2!$B$7</c:f>
              <c:strCache>
                <c:ptCount val="1"/>
                <c:pt idx="0">
                  <c:v>Estonia</c:v>
                </c:pt>
              </c:strCache>
            </c:strRef>
          </c:tx>
          <c:spPr>
            <a:ln w="28575" cap="rnd">
              <a:solidFill>
                <a:schemeClr val="accent5"/>
              </a:solidFill>
              <a:round/>
            </a:ln>
            <a:effectLst/>
          </c:spPr>
          <c:marker>
            <c:symbol val="none"/>
          </c:marker>
          <c:cat>
            <c:numRef>
              <c:f>Sheet2!$C$2:$I$2</c:f>
              <c:numCache>
                <c:formatCode>General</c:formatCode>
                <c:ptCount val="7"/>
                <c:pt idx="0">
                  <c:v>2014</c:v>
                </c:pt>
                <c:pt idx="1">
                  <c:v>2015</c:v>
                </c:pt>
                <c:pt idx="2">
                  <c:v>2016</c:v>
                </c:pt>
                <c:pt idx="3">
                  <c:v>2017</c:v>
                </c:pt>
                <c:pt idx="4">
                  <c:v>2018</c:v>
                </c:pt>
                <c:pt idx="5">
                  <c:v>2019</c:v>
                </c:pt>
                <c:pt idx="6">
                  <c:v>2020</c:v>
                </c:pt>
              </c:numCache>
            </c:numRef>
          </c:cat>
          <c:val>
            <c:numRef>
              <c:f>Sheet2!$C$7:$I$7</c:f>
              <c:numCache>
                <c:formatCode>General</c:formatCode>
                <c:ptCount val="7"/>
                <c:pt idx="0">
                  <c:v>1.91</c:v>
                </c:pt>
                <c:pt idx="1">
                  <c:v>2.0099999999999998</c:v>
                </c:pt>
                <c:pt idx="2">
                  <c:v>2.0499999999999998</c:v>
                </c:pt>
                <c:pt idx="3">
                  <c:v>2.0099999999999998</c:v>
                </c:pt>
                <c:pt idx="4">
                  <c:v>2.0099999999999998</c:v>
                </c:pt>
                <c:pt idx="5">
                  <c:v>2.02</c:v>
                </c:pt>
                <c:pt idx="6">
                  <c:v>2.31</c:v>
                </c:pt>
              </c:numCache>
            </c:numRef>
          </c:val>
          <c:smooth val="0"/>
          <c:extLst>
            <c:ext xmlns:c16="http://schemas.microsoft.com/office/drawing/2014/chart" uri="{C3380CC4-5D6E-409C-BE32-E72D297353CC}">
              <c16:uniqueId val="{00000003-B199-4561-AEC5-FAEE3B12841A}"/>
            </c:ext>
          </c:extLst>
        </c:ser>
        <c:ser>
          <c:idx val="5"/>
          <c:order val="5"/>
          <c:tx>
            <c:strRef>
              <c:f>Sheet2!$B$8</c:f>
              <c:strCache>
                <c:ptCount val="1"/>
                <c:pt idx="0">
                  <c:v>Latvia</c:v>
                </c:pt>
              </c:strCache>
            </c:strRef>
          </c:tx>
          <c:spPr>
            <a:ln w="28575" cap="rnd">
              <a:solidFill>
                <a:schemeClr val="accent6"/>
              </a:solidFill>
              <a:round/>
            </a:ln>
            <a:effectLst/>
          </c:spPr>
          <c:marker>
            <c:symbol val="none"/>
          </c:marker>
          <c:cat>
            <c:numRef>
              <c:f>Sheet2!$C$2:$I$2</c:f>
              <c:numCache>
                <c:formatCode>General</c:formatCode>
                <c:ptCount val="7"/>
                <c:pt idx="0">
                  <c:v>2014</c:v>
                </c:pt>
                <c:pt idx="1">
                  <c:v>2015</c:v>
                </c:pt>
                <c:pt idx="2">
                  <c:v>2016</c:v>
                </c:pt>
                <c:pt idx="3">
                  <c:v>2017</c:v>
                </c:pt>
                <c:pt idx="4">
                  <c:v>2018</c:v>
                </c:pt>
                <c:pt idx="5">
                  <c:v>2019</c:v>
                </c:pt>
                <c:pt idx="6">
                  <c:v>2020</c:v>
                </c:pt>
              </c:numCache>
            </c:numRef>
          </c:cat>
          <c:val>
            <c:numRef>
              <c:f>Sheet2!$C$8:$I$8</c:f>
              <c:numCache>
                <c:formatCode>General</c:formatCode>
                <c:ptCount val="7"/>
                <c:pt idx="0">
                  <c:v>0.94</c:v>
                </c:pt>
                <c:pt idx="1">
                  <c:v>1.04</c:v>
                </c:pt>
                <c:pt idx="2">
                  <c:v>1.45</c:v>
                </c:pt>
                <c:pt idx="3">
                  <c:v>1.6</c:v>
                </c:pt>
                <c:pt idx="4">
                  <c:v>2.06</c:v>
                </c:pt>
                <c:pt idx="5">
                  <c:v>2.0299999999999998</c:v>
                </c:pt>
                <c:pt idx="6">
                  <c:v>2.2999999999999998</c:v>
                </c:pt>
              </c:numCache>
            </c:numRef>
          </c:val>
          <c:smooth val="0"/>
          <c:extLst>
            <c:ext xmlns:c16="http://schemas.microsoft.com/office/drawing/2014/chart" uri="{C3380CC4-5D6E-409C-BE32-E72D297353CC}">
              <c16:uniqueId val="{00000004-B199-4561-AEC5-FAEE3B12841A}"/>
            </c:ext>
          </c:extLst>
        </c:ser>
        <c:ser>
          <c:idx val="6"/>
          <c:order val="6"/>
          <c:tx>
            <c:strRef>
              <c:f>Sheet2!$B$9</c:f>
              <c:strCache>
                <c:ptCount val="1"/>
                <c:pt idx="0">
                  <c:v>Lithuania</c:v>
                </c:pt>
              </c:strCache>
            </c:strRef>
          </c:tx>
          <c:spPr>
            <a:ln w="28575" cap="rnd">
              <a:solidFill>
                <a:schemeClr val="accent1">
                  <a:lumMod val="60000"/>
                </a:schemeClr>
              </a:solidFill>
              <a:round/>
            </a:ln>
            <a:effectLst/>
          </c:spPr>
          <c:marker>
            <c:symbol val="none"/>
          </c:marker>
          <c:cat>
            <c:numRef>
              <c:f>Sheet2!$C$2:$I$2</c:f>
              <c:numCache>
                <c:formatCode>General</c:formatCode>
                <c:ptCount val="7"/>
                <c:pt idx="0">
                  <c:v>2014</c:v>
                </c:pt>
                <c:pt idx="1">
                  <c:v>2015</c:v>
                </c:pt>
                <c:pt idx="2">
                  <c:v>2016</c:v>
                </c:pt>
                <c:pt idx="3">
                  <c:v>2017</c:v>
                </c:pt>
                <c:pt idx="4">
                  <c:v>2018</c:v>
                </c:pt>
                <c:pt idx="5">
                  <c:v>2019</c:v>
                </c:pt>
                <c:pt idx="6">
                  <c:v>2020</c:v>
                </c:pt>
              </c:numCache>
            </c:numRef>
          </c:cat>
          <c:val>
            <c:numRef>
              <c:f>Sheet2!$C$9:$I$9</c:f>
              <c:numCache>
                <c:formatCode>General</c:formatCode>
                <c:ptCount val="7"/>
                <c:pt idx="0">
                  <c:v>0.88</c:v>
                </c:pt>
                <c:pt idx="1">
                  <c:v>1.1399999999999999</c:v>
                </c:pt>
                <c:pt idx="2">
                  <c:v>1.48</c:v>
                </c:pt>
                <c:pt idx="3">
                  <c:v>1.71</c:v>
                </c:pt>
                <c:pt idx="4">
                  <c:v>1.97</c:v>
                </c:pt>
                <c:pt idx="5">
                  <c:v>2.0099999999999998</c:v>
                </c:pt>
                <c:pt idx="6">
                  <c:v>2.12</c:v>
                </c:pt>
              </c:numCache>
            </c:numRef>
          </c:val>
          <c:smooth val="0"/>
          <c:extLst>
            <c:ext xmlns:c16="http://schemas.microsoft.com/office/drawing/2014/chart" uri="{C3380CC4-5D6E-409C-BE32-E72D297353CC}">
              <c16:uniqueId val="{00000005-B199-4561-AEC5-FAEE3B12841A}"/>
            </c:ext>
          </c:extLst>
        </c:ser>
        <c:dLbls>
          <c:showLegendKey val="0"/>
          <c:showVal val="0"/>
          <c:showCatName val="0"/>
          <c:showSerName val="0"/>
          <c:showPercent val="0"/>
          <c:showBubbleSize val="0"/>
        </c:dLbls>
        <c:smooth val="0"/>
        <c:axId val="559397736"/>
        <c:axId val="559397080"/>
        <c:extLst>
          <c:ext xmlns:c15="http://schemas.microsoft.com/office/drawing/2012/chart" uri="{02D57815-91ED-43cb-92C2-25804820EDAC}">
            <c15:filteredLineSeries>
              <c15:ser>
                <c:idx val="3"/>
                <c:order val="3"/>
                <c:tx>
                  <c:strRef>
                    <c:extLst>
                      <c:ext uri="{02D57815-91ED-43cb-92C2-25804820EDAC}">
                        <c15:formulaRef>
                          <c15:sqref>Sheet2!$B$6</c15:sqref>
                        </c15:formulaRef>
                      </c:ext>
                    </c:extLst>
                    <c:strCache>
                      <c:ptCount val="1"/>
                    </c:strCache>
                  </c:strRef>
                </c:tx>
                <c:spPr>
                  <a:ln w="28575" cap="rnd">
                    <a:solidFill>
                      <a:schemeClr val="accent4"/>
                    </a:solidFill>
                    <a:round/>
                  </a:ln>
                  <a:effectLst/>
                </c:spPr>
                <c:marker>
                  <c:symbol val="none"/>
                </c:marker>
                <c:cat>
                  <c:numRef>
                    <c:extLst>
                      <c:ext uri="{02D57815-91ED-43cb-92C2-25804820EDAC}">
                        <c15:formulaRef>
                          <c15:sqref>Sheet2!$C$2:$I$2</c15:sqref>
                        </c15:formulaRef>
                      </c:ext>
                    </c:extLst>
                    <c:numCache>
                      <c:formatCode>General</c:formatCode>
                      <c:ptCount val="7"/>
                      <c:pt idx="0">
                        <c:v>2014</c:v>
                      </c:pt>
                      <c:pt idx="1">
                        <c:v>2015</c:v>
                      </c:pt>
                      <c:pt idx="2">
                        <c:v>2016</c:v>
                      </c:pt>
                      <c:pt idx="3">
                        <c:v>2017</c:v>
                      </c:pt>
                      <c:pt idx="4">
                        <c:v>2018</c:v>
                      </c:pt>
                      <c:pt idx="5">
                        <c:v>2019</c:v>
                      </c:pt>
                      <c:pt idx="6">
                        <c:v>2020</c:v>
                      </c:pt>
                    </c:numCache>
                  </c:numRef>
                </c:cat>
                <c:val>
                  <c:numRef>
                    <c:extLst>
                      <c:ext uri="{02D57815-91ED-43cb-92C2-25804820EDAC}">
                        <c15:formulaRef>
                          <c15:sqref>Sheet2!$C$6:$I$6</c15:sqref>
                        </c15:formulaRef>
                      </c:ext>
                    </c:extLst>
                    <c:numCache>
                      <c:formatCode>General</c:formatCode>
                      <c:ptCount val="7"/>
                    </c:numCache>
                  </c:numRef>
                </c:val>
                <c:smooth val="0"/>
                <c:extLst>
                  <c:ext xmlns:c16="http://schemas.microsoft.com/office/drawing/2014/chart" uri="{C3380CC4-5D6E-409C-BE32-E72D297353CC}">
                    <c16:uniqueId val="{00000006-B199-4561-AEC5-FAEE3B12841A}"/>
                  </c:ext>
                </c:extLst>
              </c15:ser>
            </c15:filteredLineSeries>
          </c:ext>
        </c:extLst>
      </c:lineChart>
      <c:catAx>
        <c:axId val="5593977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9397080"/>
        <c:crosses val="autoZero"/>
        <c:auto val="1"/>
        <c:lblAlgn val="ctr"/>
        <c:lblOffset val="100"/>
        <c:noMultiLvlLbl val="0"/>
      </c:catAx>
      <c:valAx>
        <c:axId val="5593970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Military</a:t>
                </a:r>
                <a:r>
                  <a:rPr lang="en-US" baseline="0"/>
                  <a:t> Spending as % of GDP</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9397736"/>
        <c:crosses val="autoZero"/>
        <c:crossBetween val="between"/>
        <c:majorUnit val="0.25"/>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Employment</a:t>
            </a:r>
            <a:r>
              <a:rPr lang="en-US" baseline="0"/>
              <a:t> &amp; Security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Sheet2!$C$50</c:f>
              <c:strCache>
                <c:ptCount val="1"/>
                <c:pt idx="0">
                  <c:v>IT Sector Employment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Sheet2!$B$51:$B$57</c:f>
              <c:strCache>
                <c:ptCount val="7"/>
                <c:pt idx="0">
                  <c:v>Norway</c:v>
                </c:pt>
                <c:pt idx="1">
                  <c:v>Sweden</c:v>
                </c:pt>
                <c:pt idx="2">
                  <c:v>Finland</c:v>
                </c:pt>
                <c:pt idx="4">
                  <c:v>Estonia</c:v>
                </c:pt>
                <c:pt idx="5">
                  <c:v>Latvia</c:v>
                </c:pt>
                <c:pt idx="6">
                  <c:v>Lithuania</c:v>
                </c:pt>
              </c:strCache>
            </c:strRef>
          </c:cat>
          <c:val>
            <c:numRef>
              <c:f>Sheet2!$C$51:$C$57</c:f>
              <c:numCache>
                <c:formatCode>General</c:formatCode>
                <c:ptCount val="7"/>
                <c:pt idx="0">
                  <c:v>5</c:v>
                </c:pt>
                <c:pt idx="1">
                  <c:v>7.5</c:v>
                </c:pt>
                <c:pt idx="2">
                  <c:v>7.6</c:v>
                </c:pt>
                <c:pt idx="4">
                  <c:v>6.5</c:v>
                </c:pt>
                <c:pt idx="5">
                  <c:v>3.7</c:v>
                </c:pt>
                <c:pt idx="6">
                  <c:v>3.3</c:v>
                </c:pt>
              </c:numCache>
            </c:numRef>
          </c:val>
          <c:extLst>
            <c:ext xmlns:c16="http://schemas.microsoft.com/office/drawing/2014/chart" uri="{C3380CC4-5D6E-409C-BE32-E72D297353CC}">
              <c16:uniqueId val="{00000000-B8B5-442C-8D95-196542FD4E6A}"/>
            </c:ext>
          </c:extLst>
        </c:ser>
        <c:ser>
          <c:idx val="1"/>
          <c:order val="1"/>
          <c:tx>
            <c:strRef>
              <c:f>Sheet2!$D$50</c:f>
              <c:strCache>
                <c:ptCount val="1"/>
                <c:pt idx="0">
                  <c:v>ITU Cyber Score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Sheet2!$B$51:$B$57</c:f>
              <c:strCache>
                <c:ptCount val="7"/>
                <c:pt idx="0">
                  <c:v>Norway</c:v>
                </c:pt>
                <c:pt idx="1">
                  <c:v>Sweden</c:v>
                </c:pt>
                <c:pt idx="2">
                  <c:v>Finland</c:v>
                </c:pt>
                <c:pt idx="4">
                  <c:v>Estonia</c:v>
                </c:pt>
                <c:pt idx="5">
                  <c:v>Latvia</c:v>
                </c:pt>
                <c:pt idx="6">
                  <c:v>Lithuania</c:v>
                </c:pt>
              </c:strCache>
            </c:strRef>
          </c:cat>
          <c:val>
            <c:numRef>
              <c:f>Sheet2!$D$51:$D$57</c:f>
              <c:numCache>
                <c:formatCode>General</c:formatCode>
                <c:ptCount val="7"/>
                <c:pt idx="0">
                  <c:v>96.89</c:v>
                </c:pt>
                <c:pt idx="1">
                  <c:v>94.55</c:v>
                </c:pt>
                <c:pt idx="2">
                  <c:v>95.78</c:v>
                </c:pt>
                <c:pt idx="4">
                  <c:v>99.48</c:v>
                </c:pt>
                <c:pt idx="5">
                  <c:v>97.28</c:v>
                </c:pt>
                <c:pt idx="6">
                  <c:v>97.93</c:v>
                </c:pt>
              </c:numCache>
            </c:numRef>
          </c:val>
          <c:extLst>
            <c:ext xmlns:c16="http://schemas.microsoft.com/office/drawing/2014/chart" uri="{C3380CC4-5D6E-409C-BE32-E72D297353CC}">
              <c16:uniqueId val="{00000001-B8B5-442C-8D95-196542FD4E6A}"/>
            </c:ext>
          </c:extLst>
        </c:ser>
        <c:dLbls>
          <c:dLblPos val="ctr"/>
          <c:showLegendKey val="0"/>
          <c:showVal val="1"/>
          <c:showCatName val="0"/>
          <c:showSerName val="0"/>
          <c:showPercent val="0"/>
          <c:showBubbleSize val="0"/>
        </c:dLbls>
        <c:gapWidth val="219"/>
        <c:overlap val="100"/>
        <c:axId val="555737840"/>
        <c:axId val="555742760"/>
      </c:barChart>
      <c:catAx>
        <c:axId val="55573784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5742760"/>
        <c:crosses val="autoZero"/>
        <c:auto val="1"/>
        <c:lblAlgn val="ctr"/>
        <c:lblOffset val="100"/>
        <c:noMultiLvlLbl val="0"/>
      </c:catAx>
      <c:valAx>
        <c:axId val="555742760"/>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57378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R&amp;D</a:t>
            </a:r>
            <a:r>
              <a:rPr lang="en-US" baseline="0"/>
              <a:t> Spending: Scandinavia and the Baltics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7474758874545307E-2"/>
          <c:y val="0.17171296296296296"/>
          <c:w val="0.87663636863473648"/>
          <c:h val="0.60940543890347032"/>
        </c:manualLayout>
      </c:layout>
      <c:lineChart>
        <c:grouping val="standard"/>
        <c:varyColors val="0"/>
        <c:ser>
          <c:idx val="0"/>
          <c:order val="0"/>
          <c:tx>
            <c:strRef>
              <c:f>Sheet2!$B$31</c:f>
              <c:strCache>
                <c:ptCount val="1"/>
                <c:pt idx="0">
                  <c:v>Norway</c:v>
                </c:pt>
              </c:strCache>
            </c:strRef>
          </c:tx>
          <c:spPr>
            <a:ln w="28575" cap="rnd">
              <a:solidFill>
                <a:schemeClr val="accent1"/>
              </a:solidFill>
              <a:round/>
            </a:ln>
            <a:effectLst/>
          </c:spPr>
          <c:marker>
            <c:symbol val="none"/>
          </c:marker>
          <c:cat>
            <c:numRef>
              <c:f>Sheet2!$C$30:$H$30</c:f>
              <c:numCache>
                <c:formatCode>General</c:formatCode>
                <c:ptCount val="6"/>
                <c:pt idx="0">
                  <c:v>2014</c:v>
                </c:pt>
                <c:pt idx="1">
                  <c:v>2015</c:v>
                </c:pt>
                <c:pt idx="2">
                  <c:v>2016</c:v>
                </c:pt>
                <c:pt idx="3">
                  <c:v>2017</c:v>
                </c:pt>
                <c:pt idx="4">
                  <c:v>2018</c:v>
                </c:pt>
                <c:pt idx="5">
                  <c:v>2019</c:v>
                </c:pt>
              </c:numCache>
            </c:numRef>
          </c:cat>
          <c:val>
            <c:numRef>
              <c:f>Sheet2!$C$31:$H$31</c:f>
              <c:numCache>
                <c:formatCode>General</c:formatCode>
                <c:ptCount val="6"/>
                <c:pt idx="0">
                  <c:v>1.72</c:v>
                </c:pt>
                <c:pt idx="1">
                  <c:v>1.94</c:v>
                </c:pt>
                <c:pt idx="2">
                  <c:v>2.0499999999999998</c:v>
                </c:pt>
                <c:pt idx="3">
                  <c:v>2.1</c:v>
                </c:pt>
                <c:pt idx="4">
                  <c:v>2.0699999999999998</c:v>
                </c:pt>
                <c:pt idx="5">
                  <c:v>2.15</c:v>
                </c:pt>
              </c:numCache>
            </c:numRef>
          </c:val>
          <c:smooth val="0"/>
          <c:extLst>
            <c:ext xmlns:c16="http://schemas.microsoft.com/office/drawing/2014/chart" uri="{C3380CC4-5D6E-409C-BE32-E72D297353CC}">
              <c16:uniqueId val="{00000000-A353-4F50-953A-33CDAFE584B4}"/>
            </c:ext>
          </c:extLst>
        </c:ser>
        <c:ser>
          <c:idx val="1"/>
          <c:order val="1"/>
          <c:tx>
            <c:strRef>
              <c:f>Sheet2!$B$32</c:f>
              <c:strCache>
                <c:ptCount val="1"/>
                <c:pt idx="0">
                  <c:v>Sweden</c:v>
                </c:pt>
              </c:strCache>
            </c:strRef>
          </c:tx>
          <c:spPr>
            <a:ln w="28575" cap="rnd">
              <a:solidFill>
                <a:schemeClr val="accent2"/>
              </a:solidFill>
              <a:round/>
            </a:ln>
            <a:effectLst/>
          </c:spPr>
          <c:marker>
            <c:symbol val="none"/>
          </c:marker>
          <c:cat>
            <c:numRef>
              <c:f>Sheet2!$C$30:$H$30</c:f>
              <c:numCache>
                <c:formatCode>General</c:formatCode>
                <c:ptCount val="6"/>
                <c:pt idx="0">
                  <c:v>2014</c:v>
                </c:pt>
                <c:pt idx="1">
                  <c:v>2015</c:v>
                </c:pt>
                <c:pt idx="2">
                  <c:v>2016</c:v>
                </c:pt>
                <c:pt idx="3">
                  <c:v>2017</c:v>
                </c:pt>
                <c:pt idx="4">
                  <c:v>2018</c:v>
                </c:pt>
                <c:pt idx="5">
                  <c:v>2019</c:v>
                </c:pt>
              </c:numCache>
            </c:numRef>
          </c:cat>
          <c:val>
            <c:numRef>
              <c:f>Sheet2!$C$32:$H$32</c:f>
              <c:numCache>
                <c:formatCode>General</c:formatCode>
                <c:ptCount val="6"/>
                <c:pt idx="0">
                  <c:v>3.1</c:v>
                </c:pt>
                <c:pt idx="1">
                  <c:v>3.22</c:v>
                </c:pt>
                <c:pt idx="2">
                  <c:v>3.25</c:v>
                </c:pt>
                <c:pt idx="3">
                  <c:v>3.36</c:v>
                </c:pt>
                <c:pt idx="4">
                  <c:v>3.31</c:v>
                </c:pt>
                <c:pt idx="5">
                  <c:v>3.39</c:v>
                </c:pt>
              </c:numCache>
            </c:numRef>
          </c:val>
          <c:smooth val="0"/>
          <c:extLst>
            <c:ext xmlns:c16="http://schemas.microsoft.com/office/drawing/2014/chart" uri="{C3380CC4-5D6E-409C-BE32-E72D297353CC}">
              <c16:uniqueId val="{00000001-A353-4F50-953A-33CDAFE584B4}"/>
            </c:ext>
          </c:extLst>
        </c:ser>
        <c:ser>
          <c:idx val="2"/>
          <c:order val="2"/>
          <c:tx>
            <c:strRef>
              <c:f>Sheet2!$B$33</c:f>
              <c:strCache>
                <c:ptCount val="1"/>
                <c:pt idx="0">
                  <c:v>Finland</c:v>
                </c:pt>
              </c:strCache>
            </c:strRef>
          </c:tx>
          <c:spPr>
            <a:ln w="28575" cap="rnd">
              <a:solidFill>
                <a:schemeClr val="accent3"/>
              </a:solidFill>
              <a:round/>
            </a:ln>
            <a:effectLst/>
          </c:spPr>
          <c:marker>
            <c:symbol val="none"/>
          </c:marker>
          <c:cat>
            <c:numRef>
              <c:f>Sheet2!$C$30:$H$30</c:f>
              <c:numCache>
                <c:formatCode>General</c:formatCode>
                <c:ptCount val="6"/>
                <c:pt idx="0">
                  <c:v>2014</c:v>
                </c:pt>
                <c:pt idx="1">
                  <c:v>2015</c:v>
                </c:pt>
                <c:pt idx="2">
                  <c:v>2016</c:v>
                </c:pt>
                <c:pt idx="3">
                  <c:v>2017</c:v>
                </c:pt>
                <c:pt idx="4">
                  <c:v>2018</c:v>
                </c:pt>
                <c:pt idx="5">
                  <c:v>2019</c:v>
                </c:pt>
              </c:numCache>
            </c:numRef>
          </c:cat>
          <c:val>
            <c:numRef>
              <c:f>Sheet2!$C$33:$H$33</c:f>
              <c:numCache>
                <c:formatCode>General</c:formatCode>
                <c:ptCount val="6"/>
                <c:pt idx="0">
                  <c:v>3.15</c:v>
                </c:pt>
                <c:pt idx="1">
                  <c:v>3.87</c:v>
                </c:pt>
                <c:pt idx="2">
                  <c:v>2.72</c:v>
                </c:pt>
                <c:pt idx="3">
                  <c:v>2.73</c:v>
                </c:pt>
                <c:pt idx="4">
                  <c:v>2.76</c:v>
                </c:pt>
                <c:pt idx="5">
                  <c:v>2.8</c:v>
                </c:pt>
              </c:numCache>
            </c:numRef>
          </c:val>
          <c:smooth val="0"/>
          <c:extLst>
            <c:ext xmlns:c16="http://schemas.microsoft.com/office/drawing/2014/chart" uri="{C3380CC4-5D6E-409C-BE32-E72D297353CC}">
              <c16:uniqueId val="{00000002-A353-4F50-953A-33CDAFE584B4}"/>
            </c:ext>
          </c:extLst>
        </c:ser>
        <c:ser>
          <c:idx val="4"/>
          <c:order val="4"/>
          <c:tx>
            <c:strRef>
              <c:f>Sheet2!$B$35</c:f>
              <c:strCache>
                <c:ptCount val="1"/>
                <c:pt idx="0">
                  <c:v>Estonia</c:v>
                </c:pt>
              </c:strCache>
            </c:strRef>
          </c:tx>
          <c:spPr>
            <a:ln w="28575" cap="rnd">
              <a:solidFill>
                <a:schemeClr val="accent5"/>
              </a:solidFill>
              <a:round/>
            </a:ln>
            <a:effectLst/>
          </c:spPr>
          <c:marker>
            <c:symbol val="none"/>
          </c:marker>
          <c:cat>
            <c:numRef>
              <c:f>Sheet2!$C$30:$H$30</c:f>
              <c:numCache>
                <c:formatCode>General</c:formatCode>
                <c:ptCount val="6"/>
                <c:pt idx="0">
                  <c:v>2014</c:v>
                </c:pt>
                <c:pt idx="1">
                  <c:v>2015</c:v>
                </c:pt>
                <c:pt idx="2">
                  <c:v>2016</c:v>
                </c:pt>
                <c:pt idx="3">
                  <c:v>2017</c:v>
                </c:pt>
                <c:pt idx="4">
                  <c:v>2018</c:v>
                </c:pt>
                <c:pt idx="5">
                  <c:v>2019</c:v>
                </c:pt>
              </c:numCache>
            </c:numRef>
          </c:cat>
          <c:val>
            <c:numRef>
              <c:f>Sheet2!$C$35:$H$35</c:f>
              <c:numCache>
                <c:formatCode>General</c:formatCode>
                <c:ptCount val="6"/>
                <c:pt idx="0">
                  <c:v>1.42</c:v>
                </c:pt>
                <c:pt idx="1">
                  <c:v>1.46</c:v>
                </c:pt>
                <c:pt idx="2">
                  <c:v>1.25</c:v>
                </c:pt>
                <c:pt idx="3">
                  <c:v>1.28</c:v>
                </c:pt>
                <c:pt idx="4">
                  <c:v>1.4</c:v>
                </c:pt>
                <c:pt idx="5">
                  <c:v>1.61</c:v>
                </c:pt>
              </c:numCache>
            </c:numRef>
          </c:val>
          <c:smooth val="0"/>
          <c:extLst>
            <c:ext xmlns:c16="http://schemas.microsoft.com/office/drawing/2014/chart" uri="{C3380CC4-5D6E-409C-BE32-E72D297353CC}">
              <c16:uniqueId val="{00000003-A353-4F50-953A-33CDAFE584B4}"/>
            </c:ext>
          </c:extLst>
        </c:ser>
        <c:ser>
          <c:idx val="5"/>
          <c:order val="5"/>
          <c:tx>
            <c:strRef>
              <c:f>Sheet2!$B$36</c:f>
              <c:strCache>
                <c:ptCount val="1"/>
                <c:pt idx="0">
                  <c:v>Latvia</c:v>
                </c:pt>
              </c:strCache>
            </c:strRef>
          </c:tx>
          <c:spPr>
            <a:ln w="28575" cap="rnd">
              <a:solidFill>
                <a:schemeClr val="accent6"/>
              </a:solidFill>
              <a:round/>
            </a:ln>
            <a:effectLst/>
          </c:spPr>
          <c:marker>
            <c:symbol val="none"/>
          </c:marker>
          <c:cat>
            <c:numRef>
              <c:f>Sheet2!$C$30:$H$30</c:f>
              <c:numCache>
                <c:formatCode>General</c:formatCode>
                <c:ptCount val="6"/>
                <c:pt idx="0">
                  <c:v>2014</c:v>
                </c:pt>
                <c:pt idx="1">
                  <c:v>2015</c:v>
                </c:pt>
                <c:pt idx="2">
                  <c:v>2016</c:v>
                </c:pt>
                <c:pt idx="3">
                  <c:v>2017</c:v>
                </c:pt>
                <c:pt idx="4">
                  <c:v>2018</c:v>
                </c:pt>
                <c:pt idx="5">
                  <c:v>2019</c:v>
                </c:pt>
              </c:numCache>
            </c:numRef>
          </c:cat>
          <c:val>
            <c:numRef>
              <c:f>Sheet2!$C$36:$H$36</c:f>
              <c:numCache>
                <c:formatCode>General</c:formatCode>
                <c:ptCount val="6"/>
                <c:pt idx="0">
                  <c:v>0.69</c:v>
                </c:pt>
                <c:pt idx="1">
                  <c:v>0.62</c:v>
                </c:pt>
                <c:pt idx="2">
                  <c:v>0.44</c:v>
                </c:pt>
                <c:pt idx="3">
                  <c:v>0.52</c:v>
                </c:pt>
                <c:pt idx="4">
                  <c:v>0.64</c:v>
                </c:pt>
                <c:pt idx="5">
                  <c:v>0.64</c:v>
                </c:pt>
              </c:numCache>
            </c:numRef>
          </c:val>
          <c:smooth val="0"/>
          <c:extLst>
            <c:ext xmlns:c16="http://schemas.microsoft.com/office/drawing/2014/chart" uri="{C3380CC4-5D6E-409C-BE32-E72D297353CC}">
              <c16:uniqueId val="{00000004-A353-4F50-953A-33CDAFE584B4}"/>
            </c:ext>
          </c:extLst>
        </c:ser>
        <c:ser>
          <c:idx val="6"/>
          <c:order val="6"/>
          <c:tx>
            <c:strRef>
              <c:f>Sheet2!$B$37</c:f>
              <c:strCache>
                <c:ptCount val="1"/>
                <c:pt idx="0">
                  <c:v>Lithuania</c:v>
                </c:pt>
              </c:strCache>
            </c:strRef>
          </c:tx>
          <c:spPr>
            <a:ln w="28575" cap="rnd">
              <a:solidFill>
                <a:schemeClr val="accent1">
                  <a:lumMod val="60000"/>
                </a:schemeClr>
              </a:solidFill>
              <a:round/>
            </a:ln>
            <a:effectLst/>
          </c:spPr>
          <c:marker>
            <c:symbol val="none"/>
          </c:marker>
          <c:cat>
            <c:numRef>
              <c:f>Sheet2!$C$30:$H$30</c:f>
              <c:numCache>
                <c:formatCode>General</c:formatCode>
                <c:ptCount val="6"/>
                <c:pt idx="0">
                  <c:v>2014</c:v>
                </c:pt>
                <c:pt idx="1">
                  <c:v>2015</c:v>
                </c:pt>
                <c:pt idx="2">
                  <c:v>2016</c:v>
                </c:pt>
                <c:pt idx="3">
                  <c:v>2017</c:v>
                </c:pt>
                <c:pt idx="4">
                  <c:v>2018</c:v>
                </c:pt>
                <c:pt idx="5">
                  <c:v>2019</c:v>
                </c:pt>
              </c:numCache>
            </c:numRef>
          </c:cat>
          <c:val>
            <c:numRef>
              <c:f>Sheet2!$C$37:$H$37</c:f>
              <c:numCache>
                <c:formatCode>General</c:formatCode>
                <c:ptCount val="6"/>
                <c:pt idx="0">
                  <c:v>1.03</c:v>
                </c:pt>
                <c:pt idx="1">
                  <c:v>1.04</c:v>
                </c:pt>
                <c:pt idx="2">
                  <c:v>0.84</c:v>
                </c:pt>
                <c:pt idx="3">
                  <c:v>0.9</c:v>
                </c:pt>
                <c:pt idx="4">
                  <c:v>0.94</c:v>
                </c:pt>
                <c:pt idx="5">
                  <c:v>1</c:v>
                </c:pt>
              </c:numCache>
            </c:numRef>
          </c:val>
          <c:smooth val="0"/>
          <c:extLst>
            <c:ext xmlns:c16="http://schemas.microsoft.com/office/drawing/2014/chart" uri="{C3380CC4-5D6E-409C-BE32-E72D297353CC}">
              <c16:uniqueId val="{00000005-A353-4F50-953A-33CDAFE584B4}"/>
            </c:ext>
          </c:extLst>
        </c:ser>
        <c:dLbls>
          <c:showLegendKey val="0"/>
          <c:showVal val="0"/>
          <c:showCatName val="0"/>
          <c:showSerName val="0"/>
          <c:showPercent val="0"/>
          <c:showBubbleSize val="0"/>
        </c:dLbls>
        <c:smooth val="0"/>
        <c:axId val="415570040"/>
        <c:axId val="415571024"/>
        <c:extLst>
          <c:ext xmlns:c15="http://schemas.microsoft.com/office/drawing/2012/chart" uri="{02D57815-91ED-43cb-92C2-25804820EDAC}">
            <c15:filteredLineSeries>
              <c15:ser>
                <c:idx val="3"/>
                <c:order val="3"/>
                <c:tx>
                  <c:strRef>
                    <c:extLst>
                      <c:ext uri="{02D57815-91ED-43cb-92C2-25804820EDAC}">
                        <c15:formulaRef>
                          <c15:sqref>Sheet2!$B$34</c15:sqref>
                        </c15:formulaRef>
                      </c:ext>
                    </c:extLst>
                    <c:strCache>
                      <c:ptCount val="1"/>
                    </c:strCache>
                  </c:strRef>
                </c:tx>
                <c:spPr>
                  <a:ln w="28575" cap="rnd">
                    <a:solidFill>
                      <a:schemeClr val="accent4"/>
                    </a:solidFill>
                    <a:round/>
                  </a:ln>
                  <a:effectLst/>
                </c:spPr>
                <c:marker>
                  <c:symbol val="none"/>
                </c:marker>
                <c:cat>
                  <c:numRef>
                    <c:extLst>
                      <c:ext uri="{02D57815-91ED-43cb-92C2-25804820EDAC}">
                        <c15:formulaRef>
                          <c15:sqref>Sheet2!$C$30:$H$30</c15:sqref>
                        </c15:formulaRef>
                      </c:ext>
                    </c:extLst>
                    <c:numCache>
                      <c:formatCode>General</c:formatCode>
                      <c:ptCount val="6"/>
                      <c:pt idx="0">
                        <c:v>2014</c:v>
                      </c:pt>
                      <c:pt idx="1">
                        <c:v>2015</c:v>
                      </c:pt>
                      <c:pt idx="2">
                        <c:v>2016</c:v>
                      </c:pt>
                      <c:pt idx="3">
                        <c:v>2017</c:v>
                      </c:pt>
                      <c:pt idx="4">
                        <c:v>2018</c:v>
                      </c:pt>
                      <c:pt idx="5">
                        <c:v>2019</c:v>
                      </c:pt>
                    </c:numCache>
                  </c:numRef>
                </c:cat>
                <c:val>
                  <c:numRef>
                    <c:extLst>
                      <c:ext uri="{02D57815-91ED-43cb-92C2-25804820EDAC}">
                        <c15:formulaRef>
                          <c15:sqref>Sheet2!$C$34:$H$34</c15:sqref>
                        </c15:formulaRef>
                      </c:ext>
                    </c:extLst>
                    <c:numCache>
                      <c:formatCode>General</c:formatCode>
                      <c:ptCount val="6"/>
                    </c:numCache>
                  </c:numRef>
                </c:val>
                <c:smooth val="0"/>
                <c:extLst>
                  <c:ext xmlns:c16="http://schemas.microsoft.com/office/drawing/2014/chart" uri="{C3380CC4-5D6E-409C-BE32-E72D297353CC}">
                    <c16:uniqueId val="{00000006-A353-4F50-953A-33CDAFE584B4}"/>
                  </c:ext>
                </c:extLst>
              </c15:ser>
            </c15:filteredLineSeries>
          </c:ext>
        </c:extLst>
      </c:lineChart>
      <c:dateAx>
        <c:axId val="41557004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50444335083114611"/>
              <c:y val="0.8329622338874307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5571024"/>
        <c:crosses val="autoZero"/>
        <c:auto val="0"/>
        <c:lblOffset val="100"/>
        <c:baseTimeUnit val="days"/>
      </c:dateAx>
      <c:valAx>
        <c:axId val="41557102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R&amp;D</a:t>
                </a:r>
                <a:r>
                  <a:rPr lang="en-US" baseline="0"/>
                  <a:t> Spending as % of GDP</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5570040"/>
        <c:crossesAt val="1"/>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Education</a:t>
            </a:r>
            <a:r>
              <a:rPr lang="en-US" baseline="0"/>
              <a:t> Funding: Scandinavia and the Baltics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9.2221101790069163E-2"/>
          <c:y val="0.13944374209860938"/>
          <c:w val="0.86209315797378194"/>
          <c:h val="0.66132142774188618"/>
        </c:manualLayout>
      </c:layout>
      <c:lineChart>
        <c:grouping val="standard"/>
        <c:varyColors val="0"/>
        <c:ser>
          <c:idx val="0"/>
          <c:order val="0"/>
          <c:tx>
            <c:strRef>
              <c:f>Sheet2!$B$65</c:f>
              <c:strCache>
                <c:ptCount val="1"/>
                <c:pt idx="0">
                  <c:v>Norway</c:v>
                </c:pt>
              </c:strCache>
            </c:strRef>
          </c:tx>
          <c:spPr>
            <a:ln w="28575" cap="rnd">
              <a:solidFill>
                <a:schemeClr val="accent1"/>
              </a:solidFill>
              <a:round/>
            </a:ln>
            <a:effectLst/>
          </c:spPr>
          <c:marker>
            <c:symbol val="none"/>
          </c:marker>
          <c:cat>
            <c:numRef>
              <c:f>Sheet2!$C$64:$G$64</c:f>
              <c:numCache>
                <c:formatCode>General</c:formatCode>
                <c:ptCount val="5"/>
                <c:pt idx="0">
                  <c:v>2014</c:v>
                </c:pt>
                <c:pt idx="1">
                  <c:v>2015</c:v>
                </c:pt>
                <c:pt idx="2">
                  <c:v>2016</c:v>
                </c:pt>
                <c:pt idx="3">
                  <c:v>2017</c:v>
                </c:pt>
                <c:pt idx="4">
                  <c:v>2018</c:v>
                </c:pt>
              </c:numCache>
            </c:numRef>
          </c:cat>
          <c:val>
            <c:numRef>
              <c:f>Sheet2!$C$65:$G$65</c:f>
              <c:numCache>
                <c:formatCode>General</c:formatCode>
                <c:ptCount val="5"/>
                <c:pt idx="0">
                  <c:v>7.7</c:v>
                </c:pt>
                <c:pt idx="1">
                  <c:v>7.6</c:v>
                </c:pt>
                <c:pt idx="2">
                  <c:v>8</c:v>
                </c:pt>
                <c:pt idx="3">
                  <c:v>7.9</c:v>
                </c:pt>
                <c:pt idx="4">
                  <c:v>7.6</c:v>
                </c:pt>
              </c:numCache>
            </c:numRef>
          </c:val>
          <c:smooth val="0"/>
          <c:extLst>
            <c:ext xmlns:c16="http://schemas.microsoft.com/office/drawing/2014/chart" uri="{C3380CC4-5D6E-409C-BE32-E72D297353CC}">
              <c16:uniqueId val="{00000000-E018-43CE-9D86-3566A90F99F9}"/>
            </c:ext>
          </c:extLst>
        </c:ser>
        <c:ser>
          <c:idx val="1"/>
          <c:order val="1"/>
          <c:tx>
            <c:strRef>
              <c:f>Sheet2!$B$66</c:f>
              <c:strCache>
                <c:ptCount val="1"/>
                <c:pt idx="0">
                  <c:v>Sweden</c:v>
                </c:pt>
              </c:strCache>
            </c:strRef>
          </c:tx>
          <c:spPr>
            <a:ln w="28575" cap="rnd">
              <a:solidFill>
                <a:schemeClr val="accent2"/>
              </a:solidFill>
              <a:round/>
            </a:ln>
            <a:effectLst/>
          </c:spPr>
          <c:marker>
            <c:symbol val="none"/>
          </c:marker>
          <c:cat>
            <c:numRef>
              <c:f>Sheet2!$C$64:$G$64</c:f>
              <c:numCache>
                <c:formatCode>General</c:formatCode>
                <c:ptCount val="5"/>
                <c:pt idx="0">
                  <c:v>2014</c:v>
                </c:pt>
                <c:pt idx="1">
                  <c:v>2015</c:v>
                </c:pt>
                <c:pt idx="2">
                  <c:v>2016</c:v>
                </c:pt>
                <c:pt idx="3">
                  <c:v>2017</c:v>
                </c:pt>
                <c:pt idx="4">
                  <c:v>2018</c:v>
                </c:pt>
              </c:numCache>
            </c:numRef>
          </c:cat>
          <c:val>
            <c:numRef>
              <c:f>Sheet2!$C$66:$G$66</c:f>
              <c:numCache>
                <c:formatCode>General</c:formatCode>
                <c:ptCount val="5"/>
                <c:pt idx="0">
                  <c:v>7.6</c:v>
                </c:pt>
                <c:pt idx="1">
                  <c:v>7.4</c:v>
                </c:pt>
                <c:pt idx="2">
                  <c:v>7.6</c:v>
                </c:pt>
                <c:pt idx="3">
                  <c:v>7.6</c:v>
                </c:pt>
                <c:pt idx="4">
                  <c:v>7.6</c:v>
                </c:pt>
              </c:numCache>
            </c:numRef>
          </c:val>
          <c:smooth val="0"/>
          <c:extLst>
            <c:ext xmlns:c16="http://schemas.microsoft.com/office/drawing/2014/chart" uri="{C3380CC4-5D6E-409C-BE32-E72D297353CC}">
              <c16:uniqueId val="{00000001-E018-43CE-9D86-3566A90F99F9}"/>
            </c:ext>
          </c:extLst>
        </c:ser>
        <c:ser>
          <c:idx val="2"/>
          <c:order val="2"/>
          <c:tx>
            <c:strRef>
              <c:f>Sheet2!$B$67</c:f>
              <c:strCache>
                <c:ptCount val="1"/>
                <c:pt idx="0">
                  <c:v>Finland</c:v>
                </c:pt>
              </c:strCache>
            </c:strRef>
          </c:tx>
          <c:spPr>
            <a:ln w="28575" cap="rnd">
              <a:solidFill>
                <a:schemeClr val="accent3"/>
              </a:solidFill>
              <a:round/>
            </a:ln>
            <a:effectLst/>
          </c:spPr>
          <c:marker>
            <c:symbol val="none"/>
          </c:marker>
          <c:cat>
            <c:numRef>
              <c:f>Sheet2!$C$64:$G$64</c:f>
              <c:numCache>
                <c:formatCode>General</c:formatCode>
                <c:ptCount val="5"/>
                <c:pt idx="0">
                  <c:v>2014</c:v>
                </c:pt>
                <c:pt idx="1">
                  <c:v>2015</c:v>
                </c:pt>
                <c:pt idx="2">
                  <c:v>2016</c:v>
                </c:pt>
                <c:pt idx="3">
                  <c:v>2017</c:v>
                </c:pt>
                <c:pt idx="4">
                  <c:v>2018</c:v>
                </c:pt>
              </c:numCache>
            </c:numRef>
          </c:cat>
          <c:val>
            <c:numRef>
              <c:f>Sheet2!$C$67:$G$67</c:f>
              <c:numCache>
                <c:formatCode>General</c:formatCode>
                <c:ptCount val="5"/>
                <c:pt idx="0">
                  <c:v>7.1</c:v>
                </c:pt>
                <c:pt idx="1">
                  <c:v>7</c:v>
                </c:pt>
                <c:pt idx="2">
                  <c:v>6.9</c:v>
                </c:pt>
                <c:pt idx="3">
                  <c:v>6.4</c:v>
                </c:pt>
                <c:pt idx="4">
                  <c:v>6.3</c:v>
                </c:pt>
              </c:numCache>
            </c:numRef>
          </c:val>
          <c:smooth val="0"/>
          <c:extLst>
            <c:ext xmlns:c16="http://schemas.microsoft.com/office/drawing/2014/chart" uri="{C3380CC4-5D6E-409C-BE32-E72D297353CC}">
              <c16:uniqueId val="{00000002-E018-43CE-9D86-3566A90F99F9}"/>
            </c:ext>
          </c:extLst>
        </c:ser>
        <c:ser>
          <c:idx val="4"/>
          <c:order val="4"/>
          <c:tx>
            <c:strRef>
              <c:f>Sheet2!$B$69</c:f>
              <c:strCache>
                <c:ptCount val="1"/>
                <c:pt idx="0">
                  <c:v>Estonia</c:v>
                </c:pt>
              </c:strCache>
            </c:strRef>
          </c:tx>
          <c:spPr>
            <a:ln w="28575" cap="rnd">
              <a:solidFill>
                <a:schemeClr val="accent5"/>
              </a:solidFill>
              <a:round/>
            </a:ln>
            <a:effectLst/>
          </c:spPr>
          <c:marker>
            <c:symbol val="none"/>
          </c:marker>
          <c:cat>
            <c:numRef>
              <c:f>Sheet2!$C$64:$G$64</c:f>
              <c:numCache>
                <c:formatCode>General</c:formatCode>
                <c:ptCount val="5"/>
                <c:pt idx="0">
                  <c:v>2014</c:v>
                </c:pt>
                <c:pt idx="1">
                  <c:v>2015</c:v>
                </c:pt>
                <c:pt idx="2">
                  <c:v>2016</c:v>
                </c:pt>
                <c:pt idx="3">
                  <c:v>2017</c:v>
                </c:pt>
                <c:pt idx="4">
                  <c:v>2018</c:v>
                </c:pt>
              </c:numCache>
            </c:numRef>
          </c:cat>
          <c:val>
            <c:numRef>
              <c:f>Sheet2!$C$69:$G$69</c:f>
              <c:numCache>
                <c:formatCode>General</c:formatCode>
                <c:ptCount val="5"/>
                <c:pt idx="0">
                  <c:v>5</c:v>
                </c:pt>
                <c:pt idx="1">
                  <c:v>5.0999999999999996</c:v>
                </c:pt>
                <c:pt idx="2">
                  <c:v>5.0999999999999996</c:v>
                </c:pt>
                <c:pt idx="3">
                  <c:v>5</c:v>
                </c:pt>
                <c:pt idx="4">
                  <c:v>5.2</c:v>
                </c:pt>
              </c:numCache>
            </c:numRef>
          </c:val>
          <c:smooth val="0"/>
          <c:extLst>
            <c:ext xmlns:c16="http://schemas.microsoft.com/office/drawing/2014/chart" uri="{C3380CC4-5D6E-409C-BE32-E72D297353CC}">
              <c16:uniqueId val="{00000003-E018-43CE-9D86-3566A90F99F9}"/>
            </c:ext>
          </c:extLst>
        </c:ser>
        <c:ser>
          <c:idx val="5"/>
          <c:order val="5"/>
          <c:tx>
            <c:strRef>
              <c:f>Sheet2!$B$70</c:f>
              <c:strCache>
                <c:ptCount val="1"/>
                <c:pt idx="0">
                  <c:v>Latvia</c:v>
                </c:pt>
              </c:strCache>
            </c:strRef>
          </c:tx>
          <c:spPr>
            <a:ln w="28575" cap="rnd">
              <a:solidFill>
                <a:schemeClr val="accent6"/>
              </a:solidFill>
              <a:round/>
            </a:ln>
            <a:effectLst/>
          </c:spPr>
          <c:marker>
            <c:symbol val="none"/>
          </c:marker>
          <c:cat>
            <c:numRef>
              <c:f>Sheet2!$C$64:$G$64</c:f>
              <c:numCache>
                <c:formatCode>General</c:formatCode>
                <c:ptCount val="5"/>
                <c:pt idx="0">
                  <c:v>2014</c:v>
                </c:pt>
                <c:pt idx="1">
                  <c:v>2015</c:v>
                </c:pt>
                <c:pt idx="2">
                  <c:v>2016</c:v>
                </c:pt>
                <c:pt idx="3">
                  <c:v>2017</c:v>
                </c:pt>
                <c:pt idx="4">
                  <c:v>2018</c:v>
                </c:pt>
              </c:numCache>
            </c:numRef>
          </c:cat>
          <c:val>
            <c:numRef>
              <c:f>Sheet2!$C$70:$G$70</c:f>
              <c:numCache>
                <c:formatCode>General</c:formatCode>
                <c:ptCount val="5"/>
                <c:pt idx="0">
                  <c:v>5.3</c:v>
                </c:pt>
                <c:pt idx="1">
                  <c:v>5.3</c:v>
                </c:pt>
                <c:pt idx="2">
                  <c:v>4.7</c:v>
                </c:pt>
                <c:pt idx="3">
                  <c:v>4.4000000000000004</c:v>
                </c:pt>
                <c:pt idx="4">
                  <c:v>4.2</c:v>
                </c:pt>
              </c:numCache>
            </c:numRef>
          </c:val>
          <c:smooth val="0"/>
          <c:extLst>
            <c:ext xmlns:c16="http://schemas.microsoft.com/office/drawing/2014/chart" uri="{C3380CC4-5D6E-409C-BE32-E72D297353CC}">
              <c16:uniqueId val="{00000004-E018-43CE-9D86-3566A90F99F9}"/>
            </c:ext>
          </c:extLst>
        </c:ser>
        <c:ser>
          <c:idx val="6"/>
          <c:order val="6"/>
          <c:tx>
            <c:strRef>
              <c:f>Sheet2!$B$71</c:f>
              <c:strCache>
                <c:ptCount val="1"/>
                <c:pt idx="0">
                  <c:v>Lithuania</c:v>
                </c:pt>
              </c:strCache>
            </c:strRef>
          </c:tx>
          <c:spPr>
            <a:ln w="28575" cap="rnd">
              <a:solidFill>
                <a:schemeClr val="accent1">
                  <a:lumMod val="60000"/>
                </a:schemeClr>
              </a:solidFill>
              <a:round/>
            </a:ln>
            <a:effectLst/>
          </c:spPr>
          <c:marker>
            <c:symbol val="none"/>
          </c:marker>
          <c:cat>
            <c:numRef>
              <c:f>Sheet2!$C$64:$G$64</c:f>
              <c:numCache>
                <c:formatCode>General</c:formatCode>
                <c:ptCount val="5"/>
                <c:pt idx="0">
                  <c:v>2014</c:v>
                </c:pt>
                <c:pt idx="1">
                  <c:v>2015</c:v>
                </c:pt>
                <c:pt idx="2">
                  <c:v>2016</c:v>
                </c:pt>
                <c:pt idx="3">
                  <c:v>2017</c:v>
                </c:pt>
                <c:pt idx="4">
                  <c:v>2018</c:v>
                </c:pt>
              </c:numCache>
            </c:numRef>
          </c:cat>
          <c:val>
            <c:numRef>
              <c:f>Sheet2!$C$71:$G$71</c:f>
              <c:numCache>
                <c:formatCode>General</c:formatCode>
                <c:ptCount val="5"/>
                <c:pt idx="0">
                  <c:v>4.5</c:v>
                </c:pt>
                <c:pt idx="1">
                  <c:v>4.2</c:v>
                </c:pt>
                <c:pt idx="2">
                  <c:v>4</c:v>
                </c:pt>
                <c:pt idx="3">
                  <c:v>3.8</c:v>
                </c:pt>
                <c:pt idx="4">
                  <c:v>3.9</c:v>
                </c:pt>
              </c:numCache>
            </c:numRef>
          </c:val>
          <c:smooth val="0"/>
          <c:extLst>
            <c:ext xmlns:c16="http://schemas.microsoft.com/office/drawing/2014/chart" uri="{C3380CC4-5D6E-409C-BE32-E72D297353CC}">
              <c16:uniqueId val="{00000005-E018-43CE-9D86-3566A90F99F9}"/>
            </c:ext>
          </c:extLst>
        </c:ser>
        <c:dLbls>
          <c:showLegendKey val="0"/>
          <c:showVal val="0"/>
          <c:showCatName val="0"/>
          <c:showSerName val="0"/>
          <c:showPercent val="0"/>
          <c:showBubbleSize val="0"/>
        </c:dLbls>
        <c:smooth val="0"/>
        <c:axId val="414742832"/>
        <c:axId val="414744800"/>
        <c:extLst>
          <c:ext xmlns:c15="http://schemas.microsoft.com/office/drawing/2012/chart" uri="{02D57815-91ED-43cb-92C2-25804820EDAC}">
            <c15:filteredLineSeries>
              <c15:ser>
                <c:idx val="3"/>
                <c:order val="3"/>
                <c:tx>
                  <c:strRef>
                    <c:extLst>
                      <c:ext uri="{02D57815-91ED-43cb-92C2-25804820EDAC}">
                        <c15:formulaRef>
                          <c15:sqref>Sheet2!$B$68</c15:sqref>
                        </c15:formulaRef>
                      </c:ext>
                    </c:extLst>
                    <c:strCache>
                      <c:ptCount val="1"/>
                    </c:strCache>
                  </c:strRef>
                </c:tx>
                <c:spPr>
                  <a:ln w="28575" cap="rnd">
                    <a:solidFill>
                      <a:schemeClr val="accent4"/>
                    </a:solidFill>
                    <a:round/>
                  </a:ln>
                  <a:effectLst/>
                </c:spPr>
                <c:marker>
                  <c:symbol val="none"/>
                </c:marker>
                <c:cat>
                  <c:numRef>
                    <c:extLst>
                      <c:ext uri="{02D57815-91ED-43cb-92C2-25804820EDAC}">
                        <c15:formulaRef>
                          <c15:sqref>Sheet2!$C$64:$G$64</c15:sqref>
                        </c15:formulaRef>
                      </c:ext>
                    </c:extLst>
                    <c:numCache>
                      <c:formatCode>General</c:formatCode>
                      <c:ptCount val="5"/>
                      <c:pt idx="0">
                        <c:v>2014</c:v>
                      </c:pt>
                      <c:pt idx="1">
                        <c:v>2015</c:v>
                      </c:pt>
                      <c:pt idx="2">
                        <c:v>2016</c:v>
                      </c:pt>
                      <c:pt idx="3">
                        <c:v>2017</c:v>
                      </c:pt>
                      <c:pt idx="4">
                        <c:v>2018</c:v>
                      </c:pt>
                    </c:numCache>
                  </c:numRef>
                </c:cat>
                <c:val>
                  <c:numRef>
                    <c:extLst>
                      <c:ext uri="{02D57815-91ED-43cb-92C2-25804820EDAC}">
                        <c15:formulaRef>
                          <c15:sqref>Sheet2!$C$68:$G$68</c15:sqref>
                        </c15:formulaRef>
                      </c:ext>
                    </c:extLst>
                    <c:numCache>
                      <c:formatCode>General</c:formatCode>
                      <c:ptCount val="5"/>
                    </c:numCache>
                  </c:numRef>
                </c:val>
                <c:smooth val="0"/>
                <c:extLst>
                  <c:ext xmlns:c16="http://schemas.microsoft.com/office/drawing/2014/chart" uri="{C3380CC4-5D6E-409C-BE32-E72D297353CC}">
                    <c16:uniqueId val="{00000006-E018-43CE-9D86-3566A90F99F9}"/>
                  </c:ext>
                </c:extLst>
              </c15:ser>
            </c15:filteredLineSeries>
          </c:ext>
        </c:extLst>
      </c:lineChart>
      <c:catAx>
        <c:axId val="41474283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744800"/>
        <c:crosses val="autoZero"/>
        <c:auto val="1"/>
        <c:lblAlgn val="ctr"/>
        <c:lblOffset val="100"/>
        <c:noMultiLvlLbl val="0"/>
      </c:catAx>
      <c:valAx>
        <c:axId val="414744800"/>
        <c:scaling>
          <c:orientation val="minMax"/>
          <c:min val="3"/>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Education</a:t>
                </a:r>
                <a:r>
                  <a:rPr lang="en-US" baseline="0"/>
                  <a:t> as % of Total Gov. Spending</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74283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STEM</a:t>
            </a:r>
            <a:r>
              <a:rPr lang="en-US" baseline="0"/>
              <a:t> Degrees: Scandinavia and the Baltics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499963342571006"/>
          <c:y val="0.12137742429847276"/>
          <c:w val="0.83911142392117188"/>
          <c:h val="0.65048177702619392"/>
        </c:manualLayout>
      </c:layout>
      <c:lineChart>
        <c:grouping val="standard"/>
        <c:varyColors val="0"/>
        <c:ser>
          <c:idx val="0"/>
          <c:order val="0"/>
          <c:tx>
            <c:strRef>
              <c:f>Sheet2!$B$87</c:f>
              <c:strCache>
                <c:ptCount val="1"/>
                <c:pt idx="0">
                  <c:v>Norway</c:v>
                </c:pt>
              </c:strCache>
            </c:strRef>
          </c:tx>
          <c:spPr>
            <a:ln w="28575" cap="rnd">
              <a:solidFill>
                <a:schemeClr val="accent1"/>
              </a:solidFill>
              <a:round/>
            </a:ln>
            <a:effectLst/>
          </c:spPr>
          <c:marker>
            <c:symbol val="none"/>
          </c:marker>
          <c:cat>
            <c:numRef>
              <c:f>Sheet2!$C$86:$G$86</c:f>
              <c:numCache>
                <c:formatCode>General</c:formatCode>
                <c:ptCount val="5"/>
                <c:pt idx="0">
                  <c:v>2015</c:v>
                </c:pt>
                <c:pt idx="1">
                  <c:v>2016</c:v>
                </c:pt>
                <c:pt idx="2">
                  <c:v>2017</c:v>
                </c:pt>
                <c:pt idx="3">
                  <c:v>2018</c:v>
                </c:pt>
                <c:pt idx="4">
                  <c:v>2019</c:v>
                </c:pt>
              </c:numCache>
            </c:numRef>
          </c:cat>
          <c:val>
            <c:numRef>
              <c:f>Sheet2!$C$87:$G$87</c:f>
              <c:numCache>
                <c:formatCode>General</c:formatCode>
                <c:ptCount val="5"/>
                <c:pt idx="0">
                  <c:v>21</c:v>
                </c:pt>
                <c:pt idx="1">
                  <c:v>20</c:v>
                </c:pt>
                <c:pt idx="2">
                  <c:v>22</c:v>
                </c:pt>
                <c:pt idx="3">
                  <c:v>22</c:v>
                </c:pt>
                <c:pt idx="4">
                  <c:v>21</c:v>
                </c:pt>
              </c:numCache>
            </c:numRef>
          </c:val>
          <c:smooth val="0"/>
          <c:extLst>
            <c:ext xmlns:c16="http://schemas.microsoft.com/office/drawing/2014/chart" uri="{C3380CC4-5D6E-409C-BE32-E72D297353CC}">
              <c16:uniqueId val="{00000000-1C22-48A9-B1BE-D4C48C561598}"/>
            </c:ext>
          </c:extLst>
        </c:ser>
        <c:ser>
          <c:idx val="1"/>
          <c:order val="1"/>
          <c:tx>
            <c:strRef>
              <c:f>Sheet2!$B$88</c:f>
              <c:strCache>
                <c:ptCount val="1"/>
                <c:pt idx="0">
                  <c:v>Sweden</c:v>
                </c:pt>
              </c:strCache>
            </c:strRef>
          </c:tx>
          <c:spPr>
            <a:ln w="28575" cap="rnd">
              <a:solidFill>
                <a:schemeClr val="accent2"/>
              </a:solidFill>
              <a:round/>
            </a:ln>
            <a:effectLst/>
          </c:spPr>
          <c:marker>
            <c:symbol val="none"/>
          </c:marker>
          <c:cat>
            <c:numRef>
              <c:f>Sheet2!$C$86:$G$86</c:f>
              <c:numCache>
                <c:formatCode>General</c:formatCode>
                <c:ptCount val="5"/>
                <c:pt idx="0">
                  <c:v>2015</c:v>
                </c:pt>
                <c:pt idx="1">
                  <c:v>2016</c:v>
                </c:pt>
                <c:pt idx="2">
                  <c:v>2017</c:v>
                </c:pt>
                <c:pt idx="3">
                  <c:v>2018</c:v>
                </c:pt>
                <c:pt idx="4">
                  <c:v>2019</c:v>
                </c:pt>
              </c:numCache>
            </c:numRef>
          </c:cat>
          <c:val>
            <c:numRef>
              <c:f>Sheet2!$C$88:$G$88</c:f>
              <c:numCache>
                <c:formatCode>General</c:formatCode>
                <c:ptCount val="5"/>
                <c:pt idx="0">
                  <c:v>26</c:v>
                </c:pt>
                <c:pt idx="1">
                  <c:v>27</c:v>
                </c:pt>
                <c:pt idx="2">
                  <c:v>28</c:v>
                </c:pt>
                <c:pt idx="3">
                  <c:v>27</c:v>
                </c:pt>
                <c:pt idx="4">
                  <c:v>27</c:v>
                </c:pt>
              </c:numCache>
            </c:numRef>
          </c:val>
          <c:smooth val="0"/>
          <c:extLst>
            <c:ext xmlns:c16="http://schemas.microsoft.com/office/drawing/2014/chart" uri="{C3380CC4-5D6E-409C-BE32-E72D297353CC}">
              <c16:uniqueId val="{00000001-1C22-48A9-B1BE-D4C48C561598}"/>
            </c:ext>
          </c:extLst>
        </c:ser>
        <c:ser>
          <c:idx val="2"/>
          <c:order val="2"/>
          <c:tx>
            <c:strRef>
              <c:f>Sheet2!$B$89</c:f>
              <c:strCache>
                <c:ptCount val="1"/>
                <c:pt idx="0">
                  <c:v>Finland</c:v>
                </c:pt>
              </c:strCache>
            </c:strRef>
          </c:tx>
          <c:spPr>
            <a:ln w="28575" cap="rnd">
              <a:solidFill>
                <a:schemeClr val="accent3"/>
              </a:solidFill>
              <a:round/>
            </a:ln>
            <a:effectLst/>
          </c:spPr>
          <c:marker>
            <c:symbol val="none"/>
          </c:marker>
          <c:cat>
            <c:numRef>
              <c:f>Sheet2!$C$86:$G$86</c:f>
              <c:numCache>
                <c:formatCode>General</c:formatCode>
                <c:ptCount val="5"/>
                <c:pt idx="0">
                  <c:v>2015</c:v>
                </c:pt>
                <c:pt idx="1">
                  <c:v>2016</c:v>
                </c:pt>
                <c:pt idx="2">
                  <c:v>2017</c:v>
                </c:pt>
                <c:pt idx="3">
                  <c:v>2018</c:v>
                </c:pt>
                <c:pt idx="4">
                  <c:v>2019</c:v>
                </c:pt>
              </c:numCache>
            </c:numRef>
          </c:cat>
          <c:val>
            <c:numRef>
              <c:f>Sheet2!$C$89:$G$89</c:f>
              <c:numCache>
                <c:formatCode>General</c:formatCode>
                <c:ptCount val="5"/>
                <c:pt idx="0">
                  <c:v>28</c:v>
                </c:pt>
                <c:pt idx="1">
                  <c:v>30</c:v>
                </c:pt>
                <c:pt idx="2">
                  <c:v>27</c:v>
                </c:pt>
                <c:pt idx="3">
                  <c:v>28</c:v>
                </c:pt>
                <c:pt idx="4">
                  <c:v>28</c:v>
                </c:pt>
              </c:numCache>
            </c:numRef>
          </c:val>
          <c:smooth val="0"/>
          <c:extLst>
            <c:ext xmlns:c16="http://schemas.microsoft.com/office/drawing/2014/chart" uri="{C3380CC4-5D6E-409C-BE32-E72D297353CC}">
              <c16:uniqueId val="{00000002-1C22-48A9-B1BE-D4C48C561598}"/>
            </c:ext>
          </c:extLst>
        </c:ser>
        <c:ser>
          <c:idx val="4"/>
          <c:order val="4"/>
          <c:tx>
            <c:strRef>
              <c:f>Sheet2!$B$91</c:f>
              <c:strCache>
                <c:ptCount val="1"/>
                <c:pt idx="0">
                  <c:v>Estonia</c:v>
                </c:pt>
              </c:strCache>
            </c:strRef>
          </c:tx>
          <c:spPr>
            <a:ln w="28575" cap="rnd">
              <a:solidFill>
                <a:schemeClr val="accent5"/>
              </a:solidFill>
              <a:round/>
            </a:ln>
            <a:effectLst/>
          </c:spPr>
          <c:marker>
            <c:symbol val="none"/>
          </c:marker>
          <c:cat>
            <c:numRef>
              <c:f>Sheet2!$C$86:$G$86</c:f>
              <c:numCache>
                <c:formatCode>General</c:formatCode>
                <c:ptCount val="5"/>
                <c:pt idx="0">
                  <c:v>2015</c:v>
                </c:pt>
                <c:pt idx="1">
                  <c:v>2016</c:v>
                </c:pt>
                <c:pt idx="2">
                  <c:v>2017</c:v>
                </c:pt>
                <c:pt idx="3">
                  <c:v>2018</c:v>
                </c:pt>
                <c:pt idx="4">
                  <c:v>2019</c:v>
                </c:pt>
              </c:numCache>
            </c:numRef>
          </c:cat>
          <c:val>
            <c:numRef>
              <c:f>Sheet2!$C$91:$G$91</c:f>
              <c:numCache>
                <c:formatCode>General</c:formatCode>
                <c:ptCount val="5"/>
                <c:pt idx="0">
                  <c:v>26</c:v>
                </c:pt>
                <c:pt idx="1">
                  <c:v>27</c:v>
                </c:pt>
                <c:pt idx="2">
                  <c:v>29</c:v>
                </c:pt>
                <c:pt idx="3">
                  <c:v>28</c:v>
                </c:pt>
                <c:pt idx="4">
                  <c:v>28</c:v>
                </c:pt>
              </c:numCache>
            </c:numRef>
          </c:val>
          <c:smooth val="0"/>
          <c:extLst>
            <c:ext xmlns:c16="http://schemas.microsoft.com/office/drawing/2014/chart" uri="{C3380CC4-5D6E-409C-BE32-E72D297353CC}">
              <c16:uniqueId val="{00000003-1C22-48A9-B1BE-D4C48C561598}"/>
            </c:ext>
          </c:extLst>
        </c:ser>
        <c:ser>
          <c:idx val="5"/>
          <c:order val="5"/>
          <c:tx>
            <c:strRef>
              <c:f>Sheet2!$B$92</c:f>
              <c:strCache>
                <c:ptCount val="1"/>
                <c:pt idx="0">
                  <c:v>Latvia</c:v>
                </c:pt>
              </c:strCache>
            </c:strRef>
          </c:tx>
          <c:spPr>
            <a:ln w="28575" cap="rnd">
              <a:solidFill>
                <a:schemeClr val="accent6"/>
              </a:solidFill>
              <a:round/>
            </a:ln>
            <a:effectLst/>
          </c:spPr>
          <c:marker>
            <c:symbol val="none"/>
          </c:marker>
          <c:cat>
            <c:numRef>
              <c:f>Sheet2!$C$86:$G$86</c:f>
              <c:numCache>
                <c:formatCode>General</c:formatCode>
                <c:ptCount val="5"/>
                <c:pt idx="0">
                  <c:v>2015</c:v>
                </c:pt>
                <c:pt idx="1">
                  <c:v>2016</c:v>
                </c:pt>
                <c:pt idx="2">
                  <c:v>2017</c:v>
                </c:pt>
                <c:pt idx="3">
                  <c:v>2018</c:v>
                </c:pt>
                <c:pt idx="4">
                  <c:v>2019</c:v>
                </c:pt>
              </c:numCache>
            </c:numRef>
          </c:cat>
          <c:val>
            <c:numRef>
              <c:f>Sheet2!$C$92:$G$92</c:f>
              <c:numCache>
                <c:formatCode>General</c:formatCode>
                <c:ptCount val="5"/>
                <c:pt idx="0">
                  <c:v>20</c:v>
                </c:pt>
                <c:pt idx="1">
                  <c:v>21</c:v>
                </c:pt>
                <c:pt idx="2">
                  <c:v>21</c:v>
                </c:pt>
                <c:pt idx="3">
                  <c:v>20</c:v>
                </c:pt>
                <c:pt idx="4">
                  <c:v>20</c:v>
                </c:pt>
              </c:numCache>
            </c:numRef>
          </c:val>
          <c:smooth val="0"/>
          <c:extLst>
            <c:ext xmlns:c16="http://schemas.microsoft.com/office/drawing/2014/chart" uri="{C3380CC4-5D6E-409C-BE32-E72D297353CC}">
              <c16:uniqueId val="{00000004-1C22-48A9-B1BE-D4C48C561598}"/>
            </c:ext>
          </c:extLst>
        </c:ser>
        <c:ser>
          <c:idx val="6"/>
          <c:order val="6"/>
          <c:tx>
            <c:strRef>
              <c:f>Sheet2!$B$93</c:f>
              <c:strCache>
                <c:ptCount val="1"/>
                <c:pt idx="0">
                  <c:v>Lithuania</c:v>
                </c:pt>
              </c:strCache>
            </c:strRef>
          </c:tx>
          <c:spPr>
            <a:ln w="28575" cap="rnd">
              <a:solidFill>
                <a:schemeClr val="accent1">
                  <a:lumMod val="60000"/>
                </a:schemeClr>
              </a:solidFill>
              <a:round/>
            </a:ln>
            <a:effectLst/>
          </c:spPr>
          <c:marker>
            <c:symbol val="none"/>
          </c:marker>
          <c:cat>
            <c:numRef>
              <c:f>Sheet2!$C$86:$G$86</c:f>
              <c:numCache>
                <c:formatCode>General</c:formatCode>
                <c:ptCount val="5"/>
                <c:pt idx="0">
                  <c:v>2015</c:v>
                </c:pt>
                <c:pt idx="1">
                  <c:v>2016</c:v>
                </c:pt>
                <c:pt idx="2">
                  <c:v>2017</c:v>
                </c:pt>
                <c:pt idx="3">
                  <c:v>2018</c:v>
                </c:pt>
                <c:pt idx="4">
                  <c:v>2019</c:v>
                </c:pt>
              </c:numCache>
            </c:numRef>
          </c:cat>
          <c:val>
            <c:numRef>
              <c:f>Sheet2!$C$93:$G$93</c:f>
              <c:numCache>
                <c:formatCode>General</c:formatCode>
                <c:ptCount val="5"/>
                <c:pt idx="0">
                  <c:v>23</c:v>
                </c:pt>
                <c:pt idx="1">
                  <c:v>24</c:v>
                </c:pt>
                <c:pt idx="2">
                  <c:v>26</c:v>
                </c:pt>
                <c:pt idx="3">
                  <c:v>27</c:v>
                </c:pt>
                <c:pt idx="4">
                  <c:v>27</c:v>
                </c:pt>
              </c:numCache>
            </c:numRef>
          </c:val>
          <c:smooth val="0"/>
          <c:extLst>
            <c:ext xmlns:c16="http://schemas.microsoft.com/office/drawing/2014/chart" uri="{C3380CC4-5D6E-409C-BE32-E72D297353CC}">
              <c16:uniqueId val="{00000005-1C22-48A9-B1BE-D4C48C561598}"/>
            </c:ext>
          </c:extLst>
        </c:ser>
        <c:dLbls>
          <c:showLegendKey val="0"/>
          <c:showVal val="0"/>
          <c:showCatName val="0"/>
          <c:showSerName val="0"/>
          <c:showPercent val="0"/>
          <c:showBubbleSize val="0"/>
        </c:dLbls>
        <c:smooth val="0"/>
        <c:axId val="613712752"/>
        <c:axId val="613713408"/>
        <c:extLst>
          <c:ext xmlns:c15="http://schemas.microsoft.com/office/drawing/2012/chart" uri="{02D57815-91ED-43cb-92C2-25804820EDAC}">
            <c15:filteredLineSeries>
              <c15:ser>
                <c:idx val="3"/>
                <c:order val="3"/>
                <c:tx>
                  <c:strRef>
                    <c:extLst>
                      <c:ext uri="{02D57815-91ED-43cb-92C2-25804820EDAC}">
                        <c15:formulaRef>
                          <c15:sqref>Sheet2!$B$90</c15:sqref>
                        </c15:formulaRef>
                      </c:ext>
                    </c:extLst>
                    <c:strCache>
                      <c:ptCount val="1"/>
                    </c:strCache>
                  </c:strRef>
                </c:tx>
                <c:spPr>
                  <a:ln w="28575" cap="rnd">
                    <a:solidFill>
                      <a:schemeClr val="accent4"/>
                    </a:solidFill>
                    <a:round/>
                  </a:ln>
                  <a:effectLst/>
                </c:spPr>
                <c:marker>
                  <c:symbol val="none"/>
                </c:marker>
                <c:cat>
                  <c:numRef>
                    <c:extLst>
                      <c:ext uri="{02D57815-91ED-43cb-92C2-25804820EDAC}">
                        <c15:formulaRef>
                          <c15:sqref>Sheet2!$C$86:$G$86</c15:sqref>
                        </c15:formulaRef>
                      </c:ext>
                    </c:extLst>
                    <c:numCache>
                      <c:formatCode>General</c:formatCode>
                      <c:ptCount val="5"/>
                      <c:pt idx="0">
                        <c:v>2015</c:v>
                      </c:pt>
                      <c:pt idx="1">
                        <c:v>2016</c:v>
                      </c:pt>
                      <c:pt idx="2">
                        <c:v>2017</c:v>
                      </c:pt>
                      <c:pt idx="3">
                        <c:v>2018</c:v>
                      </c:pt>
                      <c:pt idx="4">
                        <c:v>2019</c:v>
                      </c:pt>
                    </c:numCache>
                  </c:numRef>
                </c:cat>
                <c:val>
                  <c:numRef>
                    <c:extLst>
                      <c:ext uri="{02D57815-91ED-43cb-92C2-25804820EDAC}">
                        <c15:formulaRef>
                          <c15:sqref>Sheet2!$C$90:$G$90</c15:sqref>
                        </c15:formulaRef>
                      </c:ext>
                    </c:extLst>
                    <c:numCache>
                      <c:formatCode>General</c:formatCode>
                      <c:ptCount val="5"/>
                    </c:numCache>
                  </c:numRef>
                </c:val>
                <c:smooth val="0"/>
                <c:extLst>
                  <c:ext xmlns:c16="http://schemas.microsoft.com/office/drawing/2014/chart" uri="{C3380CC4-5D6E-409C-BE32-E72D297353CC}">
                    <c16:uniqueId val="{00000006-1C22-48A9-B1BE-D4C48C561598}"/>
                  </c:ext>
                </c:extLst>
              </c15:ser>
            </c15:filteredLineSeries>
          </c:ext>
        </c:extLst>
      </c:lineChart>
      <c:catAx>
        <c:axId val="6137127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46671080221117611"/>
              <c:y val="0.78974660466099467"/>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3713408"/>
        <c:crosses val="autoZero"/>
        <c:auto val="1"/>
        <c:lblAlgn val="ctr"/>
        <c:lblOffset val="100"/>
        <c:noMultiLvlLbl val="0"/>
      </c:catAx>
      <c:valAx>
        <c:axId val="613713408"/>
        <c:scaling>
          <c:orientation val="minMax"/>
          <c:min val="1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Tertiariary Degrees in STEM</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3712752"/>
        <c:crosses val="autoZero"/>
        <c:crossBetween val="midCat"/>
      </c:valAx>
      <c:spPr>
        <a:noFill/>
        <a:ln>
          <a:noFill/>
        </a:ln>
        <a:effectLst/>
      </c:spPr>
    </c:plotArea>
    <c:legend>
      <c:legendPos val="b"/>
      <c:layout>
        <c:manualLayout>
          <c:xMode val="edge"/>
          <c:yMode val="edge"/>
          <c:x val="0.15697488232965293"/>
          <c:y val="0.88324878014409269"/>
          <c:w val="0.69349887828267276"/>
          <c:h val="9.4379855202663426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1206</Words>
  <Characters>6880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2021-12-30T17:13:00Z</dcterms:created>
  <dcterms:modified xsi:type="dcterms:W3CDTF">2021-12-30T17:13:00Z</dcterms:modified>
</cp:coreProperties>
</file>